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683562" w:rsidRDefault="00143DEA" w:rsidP="00292A72">
      <w:pPr>
        <w:jc w:val="both"/>
      </w:pPr>
      <w:r w:rsidRPr="00683562"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83562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010A">
        <w:rPr>
          <w:noProof/>
        </w:rPr>
        <w:pict>
          <v:group id="_x0000_s1026" style="position:absolute;left:0;text-align:left;margin-left:91.05pt;margin-top:-45pt;width:5in;height:97.9pt;z-index:251659264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e-mail: ug@</w:t>
                    </w:r>
                    <w:r w:rsidR="00AA6927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  <w:r w:rsidR="004C18D9">
        <w:t>h</w:t>
      </w:r>
      <w:r w:rsidR="00C67A33">
        <w:t>j</w:t>
      </w:r>
      <w:r w:rsidR="00FF38A7" w:rsidRPr="00683562">
        <w:t>k</w:t>
      </w:r>
      <w:r w:rsidR="007E799A" w:rsidRPr="00683562">
        <w:t>k</w:t>
      </w:r>
      <w:r w:rsidR="00CC25A7" w:rsidRPr="00683562">
        <w:t>h</w:t>
      </w:r>
      <w:r w:rsidR="00960D87" w:rsidRPr="00683562">
        <w:t>k</w:t>
      </w:r>
      <w:r w:rsidR="00387A9F" w:rsidRPr="00683562">
        <w:t>K0</w:t>
      </w:r>
      <w:r w:rsidR="00511AE1" w:rsidRPr="00683562">
        <w:t>g</w:t>
      </w:r>
      <w:r w:rsidR="00010D56" w:rsidRPr="00683562">
        <w:t>i</w:t>
      </w:r>
    </w:p>
    <w:p w:rsidR="00143DEA" w:rsidRPr="00683562" w:rsidRDefault="00143DEA" w:rsidP="00292A72">
      <w:pPr>
        <w:jc w:val="both"/>
      </w:pPr>
    </w:p>
    <w:p w:rsidR="00143DEA" w:rsidRPr="00683562" w:rsidRDefault="00143DEA" w:rsidP="00292A72">
      <w:pPr>
        <w:jc w:val="both"/>
      </w:pPr>
    </w:p>
    <w:p w:rsidR="00227E26" w:rsidRPr="00683562" w:rsidRDefault="00143DEA" w:rsidP="00292A72">
      <w:pPr>
        <w:jc w:val="both"/>
      </w:pPr>
      <w:r w:rsidRPr="00683562">
        <w:rPr>
          <w:noProof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7E26" w:rsidRPr="00683562" w:rsidRDefault="00227E26" w:rsidP="00292A72">
      <w:pPr>
        <w:jc w:val="both"/>
      </w:pPr>
    </w:p>
    <w:p w:rsidR="00227E26" w:rsidRPr="00683562" w:rsidRDefault="00227E26" w:rsidP="00292A72">
      <w:pPr>
        <w:jc w:val="both"/>
      </w:pPr>
    </w:p>
    <w:p w:rsidR="00227E26" w:rsidRPr="00683562" w:rsidRDefault="00227E26" w:rsidP="00292A72">
      <w:pPr>
        <w:jc w:val="both"/>
      </w:pPr>
    </w:p>
    <w:p w:rsidR="00227E26" w:rsidRPr="00683562" w:rsidRDefault="00227E26" w:rsidP="00292A72">
      <w:pPr>
        <w:jc w:val="both"/>
        <w:rPr>
          <w:b/>
        </w:rPr>
      </w:pPr>
      <w:r w:rsidRPr="00683562">
        <w:rPr>
          <w:b/>
        </w:rPr>
        <w:t>Załącznik do decyzji o środowiskowych uwarunkowaniach  znak: Och-I.6220</w:t>
      </w:r>
      <w:r w:rsidR="005124AB" w:rsidRPr="00683562">
        <w:rPr>
          <w:b/>
        </w:rPr>
        <w:t>.</w:t>
      </w:r>
      <w:r w:rsidR="00C27EF4" w:rsidRPr="00683562">
        <w:rPr>
          <w:b/>
        </w:rPr>
        <w:t>5</w:t>
      </w:r>
      <w:r w:rsidR="005124AB" w:rsidRPr="00683562">
        <w:rPr>
          <w:b/>
        </w:rPr>
        <w:t>.</w:t>
      </w:r>
      <w:r w:rsidRPr="00683562">
        <w:rPr>
          <w:b/>
        </w:rPr>
        <w:t>20</w:t>
      </w:r>
      <w:r w:rsidR="00FE35C3" w:rsidRPr="00683562">
        <w:rPr>
          <w:b/>
        </w:rPr>
        <w:t>2</w:t>
      </w:r>
      <w:r w:rsidR="00297348" w:rsidRPr="00683562">
        <w:rPr>
          <w:b/>
        </w:rPr>
        <w:t>2</w:t>
      </w:r>
      <w:r w:rsidRPr="00683562">
        <w:rPr>
          <w:b/>
        </w:rPr>
        <w:t xml:space="preserve"> </w:t>
      </w:r>
      <w:r w:rsidRPr="00683562">
        <w:rPr>
          <w:b/>
        </w:rPr>
        <w:br/>
        <w:t>z dnia</w:t>
      </w:r>
      <w:r w:rsidR="0012619F" w:rsidRPr="00683562">
        <w:rPr>
          <w:b/>
        </w:rPr>
        <w:t xml:space="preserve"> </w:t>
      </w:r>
      <w:r w:rsidR="004C18D9">
        <w:rPr>
          <w:b/>
        </w:rPr>
        <w:t>2</w:t>
      </w:r>
      <w:r w:rsidR="007E30BC">
        <w:rPr>
          <w:b/>
        </w:rPr>
        <w:t>3</w:t>
      </w:r>
      <w:r w:rsidR="004C18D9">
        <w:rPr>
          <w:b/>
        </w:rPr>
        <w:t xml:space="preserve"> sierpnia </w:t>
      </w:r>
      <w:r w:rsidR="0012619F" w:rsidRPr="00683562">
        <w:rPr>
          <w:b/>
        </w:rPr>
        <w:t>2022r.</w:t>
      </w:r>
    </w:p>
    <w:p w:rsidR="00227E26" w:rsidRPr="00683562" w:rsidRDefault="00227E26" w:rsidP="00292A72">
      <w:pPr>
        <w:jc w:val="both"/>
        <w:rPr>
          <w:b/>
        </w:rPr>
      </w:pPr>
    </w:p>
    <w:p w:rsidR="00227E26" w:rsidRPr="00683562" w:rsidRDefault="00227E26" w:rsidP="00292A72">
      <w:pPr>
        <w:pStyle w:val="Tekstpodstawowy"/>
        <w:spacing w:line="240" w:lineRule="auto"/>
        <w:ind w:right="-2"/>
        <w:rPr>
          <w:b/>
          <w:sz w:val="24"/>
          <w:szCs w:val="24"/>
        </w:rPr>
      </w:pPr>
    </w:p>
    <w:p w:rsidR="00032ED9" w:rsidRPr="00683562" w:rsidRDefault="00832BA0" w:rsidP="00292A72">
      <w:pPr>
        <w:jc w:val="both"/>
        <w:rPr>
          <w:b/>
        </w:rPr>
      </w:pPr>
      <w:r w:rsidRPr="00683562">
        <w:rPr>
          <w:b/>
        </w:rPr>
        <w:t xml:space="preserve">CHARAKTERYSTYKA </w:t>
      </w:r>
      <w:r w:rsidR="008F010A">
        <w:rPr>
          <w:b/>
        </w:rPr>
        <w:t>P</w:t>
      </w:r>
      <w:bookmarkStart w:id="0" w:name="_GoBack"/>
      <w:bookmarkEnd w:id="0"/>
      <w:r w:rsidRPr="00683562">
        <w:rPr>
          <w:b/>
        </w:rPr>
        <w:t>RZEDSIĘWZIĘCIA</w:t>
      </w:r>
      <w:r w:rsidR="004759D0" w:rsidRPr="00683562">
        <w:rPr>
          <w:b/>
        </w:rPr>
        <w:t xml:space="preserve"> </w:t>
      </w:r>
    </w:p>
    <w:p w:rsidR="00FB5723" w:rsidRPr="00683562" w:rsidRDefault="00FB5723" w:rsidP="00292A72">
      <w:pPr>
        <w:jc w:val="both"/>
      </w:pPr>
    </w:p>
    <w:p w:rsidR="00FB5723" w:rsidRPr="00683562" w:rsidRDefault="00FB5723" w:rsidP="00292A72">
      <w:pPr>
        <w:ind w:firstLine="357"/>
        <w:jc w:val="both"/>
      </w:pPr>
    </w:p>
    <w:p w:rsidR="00032BC3" w:rsidRPr="00683562" w:rsidRDefault="00F31416" w:rsidP="00292A72">
      <w:pPr>
        <w:pStyle w:val="Tekstpodstawowywcity"/>
        <w:ind w:left="0"/>
        <w:jc w:val="both"/>
      </w:pPr>
      <w:r w:rsidRPr="00683562">
        <w:rPr>
          <w:b/>
        </w:rPr>
        <w:t>Rodzaj, cechy i skala przedsięwzięcia</w:t>
      </w:r>
      <w:r w:rsidRPr="00683562">
        <w:t xml:space="preserve"> </w:t>
      </w:r>
    </w:p>
    <w:p w:rsidR="002B75AC" w:rsidRPr="00683562" w:rsidRDefault="002B75AC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t>Rodzaj przedsięwzięcia.</w:t>
      </w:r>
    </w:p>
    <w:p w:rsidR="002E6238" w:rsidRPr="00683562" w:rsidRDefault="002B75AC" w:rsidP="00292A7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83562">
        <w:rPr>
          <w:rFonts w:eastAsiaTheme="minorHAnsi"/>
          <w:lang w:eastAsia="en-US"/>
        </w:rPr>
        <w:t xml:space="preserve">Planowane przedsięwzięcie </w:t>
      </w:r>
      <w:r w:rsidR="002C232E" w:rsidRPr="00683562">
        <w:rPr>
          <w:rFonts w:eastAsiaTheme="minorHAnsi"/>
          <w:lang w:eastAsia="en-US"/>
        </w:rPr>
        <w:t>polega</w:t>
      </w:r>
      <w:r w:rsidRPr="00683562">
        <w:rPr>
          <w:rFonts w:eastAsiaTheme="minorHAnsi"/>
          <w:lang w:eastAsia="en-US"/>
        </w:rPr>
        <w:t xml:space="preserve"> na b</w:t>
      </w:r>
      <w:r w:rsidRPr="00683562">
        <w:rPr>
          <w:rFonts w:eastAsiaTheme="minorHAnsi"/>
          <w:bCs/>
          <w:lang w:eastAsia="en-US"/>
        </w:rPr>
        <w:t>udowie i montażu zespołu urządzeń infrastruktury technicznej tj. moduły fotowoltaiczne na konstrukcji wsporczej o łącznej m</w:t>
      </w:r>
      <w:r w:rsidR="002E6238" w:rsidRPr="00683562">
        <w:rPr>
          <w:rFonts w:eastAsiaTheme="minorHAnsi"/>
          <w:bCs/>
          <w:lang w:eastAsia="en-US"/>
        </w:rPr>
        <w:t>ocy do 1 MW, kontenerowej</w:t>
      </w:r>
      <w:r w:rsidRPr="00683562">
        <w:rPr>
          <w:rFonts w:eastAsiaTheme="minorHAnsi"/>
          <w:bCs/>
          <w:lang w:eastAsia="en-US"/>
        </w:rPr>
        <w:t xml:space="preserve"> stacj</w:t>
      </w:r>
      <w:r w:rsidR="002E6238" w:rsidRPr="00683562">
        <w:rPr>
          <w:rFonts w:eastAsiaTheme="minorHAnsi"/>
          <w:bCs/>
          <w:lang w:eastAsia="en-US"/>
        </w:rPr>
        <w:t>i</w:t>
      </w:r>
      <w:r w:rsidRPr="00683562">
        <w:rPr>
          <w:rFonts w:eastAsiaTheme="minorHAnsi"/>
          <w:bCs/>
          <w:lang w:eastAsia="en-US"/>
        </w:rPr>
        <w:t xml:space="preserve"> </w:t>
      </w:r>
      <w:r w:rsidR="002E6238" w:rsidRPr="00683562">
        <w:rPr>
          <w:rFonts w:eastAsiaTheme="minorHAnsi"/>
          <w:bCs/>
          <w:lang w:eastAsia="en-US"/>
        </w:rPr>
        <w:t>transformatorowej</w:t>
      </w:r>
      <w:r w:rsidRPr="00683562">
        <w:rPr>
          <w:rFonts w:eastAsiaTheme="minorHAnsi"/>
          <w:bCs/>
          <w:lang w:eastAsia="en-US"/>
        </w:rPr>
        <w:t>, doziemna instalacja elektryczna nN, urzą</w:t>
      </w:r>
      <w:r w:rsidR="002E6238" w:rsidRPr="00683562">
        <w:rPr>
          <w:rFonts w:eastAsiaTheme="minorHAnsi"/>
          <w:bCs/>
          <w:lang w:eastAsia="en-US"/>
        </w:rPr>
        <w:t>dzeń instalacyjnych</w:t>
      </w:r>
      <w:r w:rsidRPr="00683562">
        <w:rPr>
          <w:rFonts w:eastAsiaTheme="minorHAnsi"/>
          <w:bCs/>
          <w:lang w:eastAsia="en-US"/>
        </w:rPr>
        <w:t xml:space="preserve"> i sterują</w:t>
      </w:r>
      <w:r w:rsidR="002E6238" w:rsidRPr="00683562">
        <w:rPr>
          <w:rFonts w:eastAsiaTheme="minorHAnsi"/>
          <w:bCs/>
          <w:lang w:eastAsia="en-US"/>
        </w:rPr>
        <w:t>cych  na działkach nr ew.: 2079, 2080 i 2081 w obrębie Sokolniki.</w:t>
      </w:r>
    </w:p>
    <w:p w:rsidR="002E6238" w:rsidRPr="00683562" w:rsidRDefault="002B75AC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Teren inwestycji obejmie obs</w:t>
      </w:r>
      <w:r w:rsidR="002E6238" w:rsidRPr="00683562">
        <w:rPr>
          <w:rFonts w:eastAsiaTheme="minorHAnsi"/>
          <w:lang w:eastAsia="en-US"/>
        </w:rPr>
        <w:t xml:space="preserve">zar o powierzchni ok. 1,476 ha. </w:t>
      </w:r>
      <w:r w:rsidRPr="00683562">
        <w:rPr>
          <w:rFonts w:eastAsiaTheme="minorHAnsi"/>
          <w:lang w:eastAsia="en-US"/>
        </w:rPr>
        <w:t xml:space="preserve">Instalacja będzie podłączona do sieci średniego napięcia poprzez stację transformatorową </w:t>
      </w:r>
      <w:r w:rsidR="002E6238" w:rsidRPr="00683562">
        <w:rPr>
          <w:rFonts w:eastAsiaTheme="minorHAnsi"/>
          <w:lang w:eastAsia="en-US"/>
        </w:rPr>
        <w:t xml:space="preserve">i doziemne </w:t>
      </w:r>
      <w:r w:rsidR="0000423E" w:rsidRPr="00683562">
        <w:rPr>
          <w:rFonts w:eastAsiaTheme="minorHAnsi"/>
          <w:lang w:eastAsia="en-US"/>
        </w:rPr>
        <w:t>linie kablowe SN.</w:t>
      </w:r>
    </w:p>
    <w:p w:rsidR="002B75AC" w:rsidRPr="00683562" w:rsidRDefault="002B75AC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t>Usytuowanie przedsięwzięcia</w:t>
      </w:r>
    </w:p>
    <w:p w:rsidR="006D4AF0" w:rsidRPr="003B42C6" w:rsidRDefault="0000423E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lang w:eastAsia="en-US"/>
        </w:rPr>
        <w:t xml:space="preserve">Inwestycja planowana jest  na gruntach rolnych w miejscowości </w:t>
      </w:r>
      <w:r w:rsidR="00363F89" w:rsidRPr="00683562">
        <w:rPr>
          <w:rFonts w:eastAsiaTheme="minorHAnsi"/>
          <w:lang w:eastAsia="en-US"/>
        </w:rPr>
        <w:t>Sokolniki</w:t>
      </w:r>
      <w:r w:rsidRPr="00683562">
        <w:rPr>
          <w:rFonts w:eastAsiaTheme="minorHAnsi"/>
          <w:lang w:eastAsia="en-US"/>
        </w:rPr>
        <w:t xml:space="preserve"> w województwie podkarpackim, powiat tarnobrzeski,  gmina Gorzyce na działkach nr ew.: </w:t>
      </w:r>
      <w:r w:rsidRPr="00683562">
        <w:rPr>
          <w:rFonts w:eastAsiaTheme="minorHAnsi"/>
          <w:b/>
          <w:bCs/>
          <w:lang w:eastAsia="en-US"/>
        </w:rPr>
        <w:t xml:space="preserve">2079, 2080 </w:t>
      </w:r>
      <w:r w:rsidRPr="00683562">
        <w:rPr>
          <w:rFonts w:eastAsiaTheme="minorHAnsi"/>
          <w:lang w:eastAsia="en-US"/>
        </w:rPr>
        <w:t xml:space="preserve">i </w:t>
      </w:r>
      <w:r w:rsidRPr="00683562">
        <w:rPr>
          <w:rFonts w:eastAsiaTheme="minorHAnsi"/>
          <w:b/>
          <w:bCs/>
          <w:lang w:eastAsia="en-US"/>
        </w:rPr>
        <w:t>2081.</w:t>
      </w:r>
    </w:p>
    <w:p w:rsidR="0000423E" w:rsidRPr="00683562" w:rsidRDefault="006D4AF0" w:rsidP="00292A72">
      <w:pPr>
        <w:jc w:val="both"/>
        <w:rPr>
          <w:rFonts w:eastAsiaTheme="minorHAnsi"/>
          <w:iCs/>
          <w:kern w:val="2"/>
          <w:lang w:eastAsia="en-US"/>
        </w:rPr>
      </w:pPr>
      <w:r w:rsidRPr="00683562">
        <w:rPr>
          <w:rFonts w:eastAsiaTheme="minorHAnsi"/>
          <w:iCs/>
          <w:kern w:val="2"/>
          <w:lang w:eastAsia="en-US"/>
        </w:rPr>
        <w:t>Najbliższe obszary chronione znajdujące się w odległości do 10 km od terenu planowanej inwestycji:</w:t>
      </w:r>
    </w:p>
    <w:p w:rsidR="002C232E" w:rsidRPr="00683562" w:rsidRDefault="002C232E" w:rsidP="00292A72">
      <w:pPr>
        <w:jc w:val="both"/>
        <w:rPr>
          <w:lang w:eastAsia="en-US"/>
        </w:rPr>
      </w:pPr>
      <w:r w:rsidRPr="00683562">
        <w:rPr>
          <w:rFonts w:eastAsiaTheme="minorHAnsi"/>
          <w:lang w:eastAsia="en-US"/>
        </w:rPr>
        <w:t>Góry Pieprzowe 7,08</w:t>
      </w:r>
    </w:p>
    <w:p w:rsidR="006D4AF0" w:rsidRPr="00683562" w:rsidRDefault="002C232E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 xml:space="preserve">Lasy </w:t>
      </w:r>
      <w:r w:rsidR="006D4AF0" w:rsidRPr="00683562">
        <w:rPr>
          <w:rFonts w:eastAsiaTheme="minorHAnsi"/>
          <w:lang w:eastAsia="en-US"/>
        </w:rPr>
        <w:t>Zwierzyniec i Jasień 4.77</w:t>
      </w:r>
    </w:p>
    <w:p w:rsidR="006D4AF0" w:rsidRPr="00683562" w:rsidRDefault="006D4AF0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t>Natura 2000 Obszary specjalnej ochrony</w:t>
      </w:r>
    </w:p>
    <w:p w:rsidR="006D4AF0" w:rsidRPr="00683562" w:rsidRDefault="006D4AF0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Puszcza Sandomierska 2.14</w:t>
      </w:r>
    </w:p>
    <w:p w:rsidR="006D4AF0" w:rsidRPr="00683562" w:rsidRDefault="006D4AF0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t>Natura 2000 Specjalne obszary ochrony</w:t>
      </w:r>
    </w:p>
    <w:p w:rsidR="006D4AF0" w:rsidRPr="00683562" w:rsidRDefault="006D4AF0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Tarnobrzeska Dolina Wisły PLH180049 6.01</w:t>
      </w:r>
    </w:p>
    <w:p w:rsidR="006D4AF0" w:rsidRPr="00683562" w:rsidRDefault="006D4AF0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Dolina Dolnego Sanu PLH180020 5.52</w:t>
      </w:r>
    </w:p>
    <w:p w:rsidR="006D4AF0" w:rsidRPr="00683562" w:rsidRDefault="006D4AF0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 xml:space="preserve">Enklawy Puszczy </w:t>
      </w:r>
      <w:r w:rsidR="002E69C5" w:rsidRPr="00683562">
        <w:rPr>
          <w:rFonts w:eastAsiaTheme="minorHAnsi"/>
          <w:lang w:eastAsia="en-US"/>
        </w:rPr>
        <w:t>S</w:t>
      </w:r>
      <w:r w:rsidRPr="00683562">
        <w:rPr>
          <w:rFonts w:eastAsiaTheme="minorHAnsi"/>
          <w:lang w:eastAsia="en-US"/>
        </w:rPr>
        <w:t>andomierskiej PLH180055 4.06</w:t>
      </w:r>
    </w:p>
    <w:p w:rsidR="006D4AF0" w:rsidRPr="00683562" w:rsidRDefault="006D4AF0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t>Użytek ekologiczny</w:t>
      </w:r>
    </w:p>
    <w:p w:rsidR="0000423E" w:rsidRPr="00683562" w:rsidRDefault="006D4AF0" w:rsidP="00292A72">
      <w:pPr>
        <w:jc w:val="both"/>
        <w:rPr>
          <w:lang w:eastAsia="en-US"/>
        </w:rPr>
      </w:pPr>
      <w:r w:rsidRPr="00683562">
        <w:rPr>
          <w:rFonts w:eastAsiaTheme="minorHAnsi"/>
          <w:lang w:eastAsia="en-US"/>
        </w:rPr>
        <w:t>Kamień Plebański 8.15</w:t>
      </w:r>
    </w:p>
    <w:p w:rsidR="009E211C" w:rsidRPr="00683562" w:rsidRDefault="001D31A9" w:rsidP="00292A72">
      <w:pPr>
        <w:pStyle w:val="Tekstpodstawowy"/>
        <w:spacing w:line="240" w:lineRule="auto"/>
        <w:ind w:right="45"/>
        <w:rPr>
          <w:b/>
          <w:spacing w:val="-4"/>
          <w:sz w:val="24"/>
          <w:szCs w:val="24"/>
        </w:rPr>
      </w:pPr>
      <w:r w:rsidRPr="00683562">
        <w:rPr>
          <w:b/>
          <w:spacing w:val="-4"/>
          <w:sz w:val="24"/>
          <w:szCs w:val="24"/>
        </w:rPr>
        <w:t>Dotychczasowy sposób użytkowania terenu</w:t>
      </w:r>
      <w:r w:rsidRPr="00683562">
        <w:rPr>
          <w:spacing w:val="-4"/>
          <w:sz w:val="24"/>
          <w:szCs w:val="24"/>
        </w:rPr>
        <w:t xml:space="preserve"> </w:t>
      </w:r>
      <w:r w:rsidR="009E211C" w:rsidRPr="00683562">
        <w:rPr>
          <w:b/>
          <w:spacing w:val="-4"/>
          <w:sz w:val="24"/>
          <w:szCs w:val="24"/>
        </w:rPr>
        <w:t xml:space="preserve">planowanego </w:t>
      </w:r>
      <w:r w:rsidRPr="00683562">
        <w:rPr>
          <w:b/>
          <w:spacing w:val="-4"/>
          <w:sz w:val="24"/>
          <w:szCs w:val="24"/>
        </w:rPr>
        <w:t>przedsięwzięcia</w:t>
      </w:r>
      <w:r w:rsidR="009E211C" w:rsidRPr="00683562">
        <w:rPr>
          <w:b/>
          <w:spacing w:val="-4"/>
          <w:sz w:val="24"/>
          <w:szCs w:val="24"/>
        </w:rPr>
        <w:t>.</w:t>
      </w:r>
    </w:p>
    <w:p w:rsidR="008E63DD" w:rsidRPr="00683562" w:rsidRDefault="00F34752" w:rsidP="00292A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3562">
        <w:rPr>
          <w:rFonts w:eastAsiaTheme="minorHAnsi"/>
          <w:color w:val="000000"/>
          <w:lang w:eastAsia="en-US"/>
        </w:rPr>
        <w:t>Teren niezabudowany. Obejmuje grunty orne klasy RV (1,0632 ha), RVI (0,1042 ha) oraz łąki trwałe</w:t>
      </w:r>
      <w:r w:rsidR="00363F89" w:rsidRPr="00683562">
        <w:rPr>
          <w:rFonts w:eastAsiaTheme="minorHAnsi"/>
          <w:color w:val="000000"/>
          <w:lang w:eastAsia="en-US"/>
        </w:rPr>
        <w:t xml:space="preserve"> </w:t>
      </w:r>
      <w:r w:rsidRPr="00683562">
        <w:rPr>
          <w:rFonts w:eastAsiaTheme="minorHAnsi"/>
          <w:color w:val="000000"/>
          <w:lang w:eastAsia="en-US"/>
        </w:rPr>
        <w:t>ŁIV (0,3088 ha).</w:t>
      </w:r>
    </w:p>
    <w:p w:rsidR="008E63DD" w:rsidRPr="00683562" w:rsidRDefault="008E63DD" w:rsidP="00292A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3562">
        <w:rPr>
          <w:rFonts w:eastAsiaTheme="minorHAnsi"/>
          <w:b/>
          <w:iCs/>
          <w:color w:val="333333"/>
          <w:lang w:eastAsia="en-US"/>
        </w:rPr>
        <w:t>Bilans powierzchni terenu</w:t>
      </w:r>
      <w:r w:rsidRPr="008E0802">
        <w:rPr>
          <w:rFonts w:eastAsiaTheme="minorHAnsi"/>
          <w:b/>
          <w:color w:val="000000"/>
          <w:lang w:eastAsia="en-US"/>
        </w:rPr>
        <w:t xml:space="preserve"> inwestycji </w:t>
      </w:r>
    </w:p>
    <w:p w:rsidR="008E63DD" w:rsidRPr="00683562" w:rsidRDefault="008E63DD" w:rsidP="00292A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3562">
        <w:rPr>
          <w:rFonts w:eastAsiaTheme="minorHAnsi"/>
          <w:color w:val="000000"/>
          <w:lang w:eastAsia="en-US"/>
        </w:rPr>
        <w:t>Powierzchnia działek 14760,0</w:t>
      </w:r>
      <w:r w:rsidR="000C40CD" w:rsidRPr="00683562">
        <w:rPr>
          <w:rFonts w:eastAsiaTheme="minorHAnsi"/>
          <w:color w:val="000000"/>
          <w:lang w:eastAsia="en-US"/>
        </w:rPr>
        <w:t xml:space="preserve"> m</w:t>
      </w:r>
      <w:r w:rsidR="000C40CD" w:rsidRPr="00683562">
        <w:rPr>
          <w:rFonts w:eastAsiaTheme="minorHAnsi"/>
          <w:color w:val="000000"/>
          <w:vertAlign w:val="superscript"/>
          <w:lang w:eastAsia="en-US"/>
        </w:rPr>
        <w:t>2</w:t>
      </w:r>
    </w:p>
    <w:p w:rsidR="008E63DD" w:rsidRPr="00683562" w:rsidRDefault="008E63DD" w:rsidP="00292A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3562">
        <w:rPr>
          <w:rFonts w:eastAsiaTheme="minorHAnsi"/>
          <w:color w:val="000000"/>
          <w:lang w:eastAsia="en-US"/>
        </w:rPr>
        <w:t>Powierzchnia terenu inwestycji 14760,0</w:t>
      </w:r>
      <w:r w:rsidR="000C40CD" w:rsidRPr="00683562">
        <w:rPr>
          <w:rFonts w:eastAsiaTheme="minorHAnsi"/>
          <w:color w:val="000000"/>
          <w:lang w:eastAsia="en-US"/>
        </w:rPr>
        <w:t xml:space="preserve"> m</w:t>
      </w:r>
      <w:r w:rsidR="000C40CD" w:rsidRPr="00683562">
        <w:rPr>
          <w:rFonts w:eastAsiaTheme="minorHAnsi"/>
          <w:color w:val="000000"/>
          <w:vertAlign w:val="superscript"/>
          <w:lang w:eastAsia="en-US"/>
        </w:rPr>
        <w:t>2</w:t>
      </w:r>
    </w:p>
    <w:p w:rsidR="008E63DD" w:rsidRPr="00683562" w:rsidRDefault="008E63DD" w:rsidP="00292A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3562">
        <w:rPr>
          <w:rFonts w:eastAsiaTheme="minorHAnsi"/>
          <w:color w:val="000000"/>
          <w:lang w:eastAsia="en-US"/>
        </w:rPr>
        <w:t>Powierzchnia terenu utwardzenia (tłuczeń) 0,0</w:t>
      </w:r>
      <w:r w:rsidR="000C40CD" w:rsidRPr="00683562">
        <w:rPr>
          <w:rFonts w:eastAsiaTheme="minorHAnsi"/>
          <w:color w:val="000000"/>
          <w:lang w:eastAsia="en-US"/>
        </w:rPr>
        <w:t xml:space="preserve"> m</w:t>
      </w:r>
      <w:r w:rsidR="000C40CD" w:rsidRPr="00683562">
        <w:rPr>
          <w:rFonts w:eastAsiaTheme="minorHAnsi"/>
          <w:color w:val="000000"/>
          <w:vertAlign w:val="superscript"/>
          <w:lang w:eastAsia="en-US"/>
        </w:rPr>
        <w:t>2</w:t>
      </w:r>
    </w:p>
    <w:p w:rsidR="008E63DD" w:rsidRPr="00683562" w:rsidRDefault="008E63DD" w:rsidP="00292A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3562">
        <w:rPr>
          <w:rFonts w:eastAsiaTheme="minorHAnsi"/>
          <w:color w:val="000000"/>
          <w:lang w:eastAsia="en-US"/>
        </w:rPr>
        <w:t>Powierzchnia zabudowy panelami fotowoltaicznymi 6000,0</w:t>
      </w:r>
      <w:r w:rsidR="000C40CD" w:rsidRPr="00683562">
        <w:rPr>
          <w:rFonts w:eastAsiaTheme="minorHAnsi"/>
          <w:color w:val="000000"/>
          <w:lang w:eastAsia="en-US"/>
        </w:rPr>
        <w:t xml:space="preserve"> m</w:t>
      </w:r>
      <w:r w:rsidR="000C40CD" w:rsidRPr="00683562">
        <w:rPr>
          <w:rFonts w:eastAsiaTheme="minorHAnsi"/>
          <w:color w:val="000000"/>
          <w:vertAlign w:val="superscript"/>
          <w:lang w:eastAsia="en-US"/>
        </w:rPr>
        <w:t>2</w:t>
      </w:r>
    </w:p>
    <w:p w:rsidR="008E63DD" w:rsidRPr="00683562" w:rsidRDefault="008E63DD" w:rsidP="00292A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3562">
        <w:rPr>
          <w:rFonts w:eastAsiaTheme="minorHAnsi"/>
          <w:color w:val="000000"/>
          <w:lang w:eastAsia="en-US"/>
        </w:rPr>
        <w:t>Powierzchnia zabudowy obiekty kubaturowe (stacja transformatorowa) 30,0</w:t>
      </w:r>
      <w:r w:rsidR="000C40CD" w:rsidRPr="00683562">
        <w:rPr>
          <w:rFonts w:eastAsiaTheme="minorHAnsi"/>
          <w:color w:val="000000"/>
          <w:lang w:eastAsia="en-US"/>
        </w:rPr>
        <w:t xml:space="preserve"> m</w:t>
      </w:r>
      <w:r w:rsidR="000C40CD" w:rsidRPr="00683562">
        <w:rPr>
          <w:rFonts w:eastAsiaTheme="minorHAnsi"/>
          <w:color w:val="000000"/>
          <w:vertAlign w:val="superscript"/>
          <w:lang w:eastAsia="en-US"/>
        </w:rPr>
        <w:t>2</w:t>
      </w:r>
    </w:p>
    <w:p w:rsidR="008E63DD" w:rsidRPr="00683562" w:rsidRDefault="008E63DD" w:rsidP="00292A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3562">
        <w:rPr>
          <w:rFonts w:eastAsiaTheme="minorHAnsi"/>
          <w:color w:val="000000"/>
          <w:lang w:eastAsia="en-US"/>
        </w:rPr>
        <w:t>Powierzchnia zieleni 8730,0</w:t>
      </w:r>
      <w:r w:rsidR="000C40CD" w:rsidRPr="00683562">
        <w:rPr>
          <w:rFonts w:eastAsiaTheme="minorHAnsi"/>
          <w:color w:val="000000"/>
          <w:lang w:eastAsia="en-US"/>
        </w:rPr>
        <w:t xml:space="preserve"> m</w:t>
      </w:r>
      <w:r w:rsidR="000C40CD" w:rsidRPr="00683562">
        <w:rPr>
          <w:rFonts w:eastAsiaTheme="minorHAnsi"/>
          <w:color w:val="000000"/>
          <w:vertAlign w:val="superscript"/>
          <w:lang w:eastAsia="en-US"/>
        </w:rPr>
        <w:t>2</w:t>
      </w:r>
    </w:p>
    <w:p w:rsidR="008E63DD" w:rsidRPr="00683562" w:rsidRDefault="008E63DD" w:rsidP="00292A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3562">
        <w:rPr>
          <w:rFonts w:eastAsiaTheme="minorHAnsi"/>
          <w:color w:val="000000"/>
          <w:lang w:eastAsia="en-US"/>
        </w:rPr>
        <w:t>Powierzchnia zaplecza budowy (tymczasowa, na etapie budowy) 150,0</w:t>
      </w:r>
    </w:p>
    <w:p w:rsidR="00683562" w:rsidRDefault="00683562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6C1965" w:rsidRDefault="006C1965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8E63DD" w:rsidRPr="00683562" w:rsidRDefault="008E63DD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b/>
          <w:bCs/>
          <w:color w:val="000000"/>
          <w:lang w:eastAsia="en-US"/>
        </w:rPr>
      </w:pPr>
      <w:r w:rsidRPr="00683562">
        <w:rPr>
          <w:rFonts w:eastAsiaTheme="minorHAnsi"/>
          <w:b/>
          <w:bCs/>
          <w:color w:val="000000"/>
          <w:lang w:eastAsia="en-US"/>
        </w:rPr>
        <w:lastRenderedPageBreak/>
        <w:t>Pokrycie nieruchomości szatą roślinną</w:t>
      </w:r>
      <w:r w:rsidR="00415DA6">
        <w:rPr>
          <w:rFonts w:eastAsiaTheme="minorHAnsi"/>
          <w:b/>
          <w:bCs/>
          <w:color w:val="000000"/>
          <w:lang w:eastAsia="en-US"/>
        </w:rPr>
        <w:t xml:space="preserve">  </w:t>
      </w:r>
    </w:p>
    <w:p w:rsidR="008E63DD" w:rsidRDefault="008E63DD" w:rsidP="0012239A">
      <w:pPr>
        <w:pStyle w:val="Tekstpodstawowy"/>
        <w:spacing w:line="240" w:lineRule="auto"/>
        <w:ind w:right="131"/>
        <w:rPr>
          <w:rFonts w:eastAsiaTheme="minorHAnsi"/>
          <w:color w:val="000000"/>
          <w:sz w:val="24"/>
          <w:szCs w:val="24"/>
          <w:lang w:eastAsia="en-US"/>
        </w:rPr>
      </w:pPr>
      <w:r w:rsidRPr="00683562">
        <w:rPr>
          <w:rFonts w:eastAsiaTheme="minorHAnsi"/>
          <w:color w:val="000000"/>
          <w:sz w:val="24"/>
          <w:szCs w:val="24"/>
          <w:lang w:eastAsia="en-US"/>
        </w:rPr>
        <w:t xml:space="preserve">Pokrycie szatą roślinną: trawa, krzewy. </w:t>
      </w:r>
    </w:p>
    <w:p w:rsidR="006E4582" w:rsidRDefault="006E4582" w:rsidP="0012239A">
      <w:pPr>
        <w:pStyle w:val="Tekstpodstawowy"/>
        <w:spacing w:line="240" w:lineRule="auto"/>
        <w:ind w:right="131"/>
        <w:rPr>
          <w:rFonts w:eastAsiaTheme="minorHAnsi"/>
          <w:color w:val="000000"/>
          <w:sz w:val="24"/>
          <w:szCs w:val="24"/>
          <w:lang w:eastAsia="en-US"/>
        </w:rPr>
      </w:pPr>
    </w:p>
    <w:p w:rsidR="006E4582" w:rsidRPr="006E4582" w:rsidRDefault="006E4582" w:rsidP="006E458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E4582">
        <w:rPr>
          <w:rFonts w:eastAsiaTheme="minorHAnsi"/>
          <w:b/>
          <w:bCs/>
          <w:lang w:eastAsia="en-US"/>
        </w:rPr>
        <w:t>Rodzaj technologii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Opisywane przedsięwzięcie będzie polegało na budowie instalacji fotowoltaicznej wraz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z infrastrukturą techniczną niezbędną do dystrybucji energii. Instalacja fotowoltaiczna wytwarza prą</w:t>
      </w:r>
      <w:r w:rsidR="008E0F0A">
        <w:rPr>
          <w:rFonts w:eastAsiaTheme="minorHAnsi"/>
          <w:lang w:eastAsia="en-US"/>
        </w:rPr>
        <w:t xml:space="preserve">d </w:t>
      </w:r>
      <w:r w:rsidRPr="006E4582">
        <w:rPr>
          <w:rFonts w:eastAsiaTheme="minorHAnsi"/>
          <w:lang w:eastAsia="en-US"/>
        </w:rPr>
        <w:t>elektryczny wykorzystując zjawisko konwersji promieniowania słonecznego zachodzą</w:t>
      </w:r>
      <w:r w:rsidR="008E0F0A">
        <w:rPr>
          <w:rFonts w:eastAsiaTheme="minorHAnsi"/>
          <w:lang w:eastAsia="en-US"/>
        </w:rPr>
        <w:t xml:space="preserve">ce </w:t>
      </w:r>
      <w:r w:rsidRPr="006E4582">
        <w:rPr>
          <w:rFonts w:eastAsiaTheme="minorHAnsi"/>
          <w:lang w:eastAsia="en-US"/>
        </w:rPr>
        <w:t>w ogniwach fotowoltaicznych. Uzyskana w ten sposób energia elektryczna bę</w:t>
      </w:r>
      <w:r w:rsidR="008E0F0A">
        <w:rPr>
          <w:rFonts w:eastAsiaTheme="minorHAnsi"/>
          <w:lang w:eastAsia="en-US"/>
        </w:rPr>
        <w:t xml:space="preserve">dzie przesyłana do sieci </w:t>
      </w:r>
      <w:r w:rsidRPr="006E4582">
        <w:rPr>
          <w:rFonts w:eastAsiaTheme="minorHAnsi"/>
          <w:lang w:eastAsia="en-US"/>
        </w:rPr>
        <w:t>Energetyki Zawodowej zasilając Krajową Sieć Energetyczną. Przewidywany okre</w:t>
      </w:r>
      <w:r w:rsidR="008E0F0A">
        <w:rPr>
          <w:rFonts w:eastAsiaTheme="minorHAnsi"/>
          <w:lang w:eastAsia="en-US"/>
        </w:rPr>
        <w:t xml:space="preserve">s eksploatacji </w:t>
      </w:r>
      <w:r w:rsidRPr="006E4582">
        <w:rPr>
          <w:rFonts w:eastAsiaTheme="minorHAnsi"/>
          <w:lang w:eastAsia="en-US"/>
        </w:rPr>
        <w:t>instalacji fotowoltaicznej bez konieczności wymiany generatorów wynosi min. 25 lat.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Instalacja fotowoltaiczna składać się będzie z następujących elementów: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• Moduły fotowoltaiczne zamontowane na konstrukcji wsporczej.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• Naziemna i podziemna infrastruktura elektryczna.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• Inwertery.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• Kablowa linia energetyczna.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• Przyłącze elektroenergetyczne.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• Inne niezbędne elementy infrastruktury związane z budową i eksploatacją elektrowni</w:t>
      </w:r>
    </w:p>
    <w:p w:rsidR="006E4582" w:rsidRPr="006E4582" w:rsidRDefault="006E4582" w:rsidP="008E0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582">
        <w:rPr>
          <w:rFonts w:eastAsiaTheme="minorHAnsi"/>
          <w:lang w:eastAsia="en-US"/>
        </w:rPr>
        <w:t>fotowoltaicznej.</w:t>
      </w:r>
    </w:p>
    <w:p w:rsidR="006E4582" w:rsidRPr="00683562" w:rsidRDefault="006E4582" w:rsidP="008E0F0A">
      <w:pPr>
        <w:pStyle w:val="Tekstpodstawowy"/>
        <w:spacing w:line="240" w:lineRule="auto"/>
        <w:ind w:right="131"/>
        <w:rPr>
          <w:rFonts w:eastAsiaTheme="minorHAnsi"/>
          <w:color w:val="000000"/>
          <w:sz w:val="24"/>
          <w:szCs w:val="24"/>
          <w:lang w:eastAsia="en-US"/>
        </w:rPr>
      </w:pPr>
    </w:p>
    <w:p w:rsidR="00F34752" w:rsidRPr="00683562" w:rsidRDefault="00F34752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t>Planowane rozwiązania technologiczne i liczba montowanych urządzeń:</w:t>
      </w:r>
    </w:p>
    <w:p w:rsidR="00F34752" w:rsidRPr="00683562" w:rsidRDefault="00F34752" w:rsidP="00C950DD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1. Moduły fotowoltaiczne - do 3000 szt.; o mocy od 320 Wp do 1000 Wp</w:t>
      </w:r>
    </w:p>
    <w:p w:rsidR="00F34752" w:rsidRPr="00683562" w:rsidRDefault="00F34752" w:rsidP="00C950DD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Docelowa ilość modułów fotowoltaicznych zostanie określona na etapie wykonania projektu</w:t>
      </w:r>
    </w:p>
    <w:p w:rsidR="00F34752" w:rsidRPr="00683562" w:rsidRDefault="00F34752" w:rsidP="00C950DD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budowlanego i dobrana do maksymalnej mocy nominalnej elektrowni fotowoltaicznej.</w:t>
      </w:r>
    </w:p>
    <w:p w:rsidR="00F34752" w:rsidRPr="00683562" w:rsidRDefault="00F34752" w:rsidP="00C950DD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 xml:space="preserve">Zastosowane technologie paneli fotowoltaicznych nie będą </w:t>
      </w:r>
      <w:r w:rsidR="003A2F16">
        <w:rPr>
          <w:rFonts w:eastAsiaTheme="minorHAnsi"/>
          <w:lang w:eastAsia="en-US"/>
        </w:rPr>
        <w:t xml:space="preserve">chłodzone mechanicznie. Nie </w:t>
      </w:r>
      <w:r w:rsidRPr="00683562">
        <w:rPr>
          <w:rFonts w:eastAsiaTheme="minorHAnsi"/>
          <w:lang w:eastAsia="en-US"/>
        </w:rPr>
        <w:t>będzie też wykorzystywane żadne chłodziwo – moduły fotowoltaiczne będą odprowadzały</w:t>
      </w:r>
      <w:r w:rsidR="00A15744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ciepło w sposób naturalny.</w:t>
      </w:r>
    </w:p>
    <w:p w:rsidR="00F34752" w:rsidRPr="00683562" w:rsidRDefault="00F34752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2. Stacja transformatorowa – 1 szt.; powierzchnia zabudowy do 30m</w:t>
      </w:r>
      <w:r w:rsidRPr="00E13442">
        <w:rPr>
          <w:rFonts w:eastAsiaTheme="minorHAnsi"/>
          <w:vertAlign w:val="superscript"/>
          <w:lang w:eastAsia="en-US"/>
        </w:rPr>
        <w:t>2</w:t>
      </w:r>
      <w:r w:rsidRPr="00683562">
        <w:rPr>
          <w:rFonts w:eastAsiaTheme="minorHAnsi"/>
          <w:lang w:eastAsia="en-US"/>
        </w:rPr>
        <w:t>.</w:t>
      </w:r>
    </w:p>
    <w:p w:rsidR="00F34752" w:rsidRPr="00683562" w:rsidRDefault="00F34752" w:rsidP="00AA515B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Stacja transformatorowa typu kontenerowego z wydzielonymi pomieszczeniami dla</w:t>
      </w:r>
      <w:r w:rsidR="00A15744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rozdzielni niskiego napięcia, komór transformatorowych ora</w:t>
      </w:r>
      <w:r w:rsidR="004B6C21">
        <w:rPr>
          <w:rFonts w:eastAsiaTheme="minorHAnsi"/>
          <w:lang w:eastAsia="en-US"/>
        </w:rPr>
        <w:t>z rozdzielni średniego napięcia,</w:t>
      </w:r>
    </w:p>
    <w:p w:rsidR="00F34752" w:rsidRPr="00683562" w:rsidRDefault="004B6C21" w:rsidP="00AA515B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</w:t>
      </w:r>
      <w:r w:rsidR="00F34752" w:rsidRPr="00683562">
        <w:rPr>
          <w:rFonts w:eastAsiaTheme="minorHAnsi"/>
          <w:lang w:eastAsia="en-US"/>
        </w:rPr>
        <w:t>ykonana w technologii prefabrykatu betonowego. Obiekt zostanie usytuowany na</w:t>
      </w:r>
      <w:r w:rsidR="00A15744">
        <w:rPr>
          <w:rFonts w:eastAsiaTheme="minorHAnsi"/>
          <w:lang w:eastAsia="en-US"/>
        </w:rPr>
        <w:t xml:space="preserve"> </w:t>
      </w:r>
      <w:r w:rsidR="00F34752" w:rsidRPr="00683562">
        <w:rPr>
          <w:rFonts w:eastAsiaTheme="minorHAnsi"/>
          <w:lang w:eastAsia="en-US"/>
        </w:rPr>
        <w:t>prefabrykowanej płycie fundamentowej lub słupach, na zagęszczonej podsypce, zgodnie</w:t>
      </w:r>
      <w:r w:rsidR="00A15744">
        <w:rPr>
          <w:rFonts w:eastAsiaTheme="minorHAnsi"/>
          <w:lang w:eastAsia="en-US"/>
        </w:rPr>
        <w:t xml:space="preserve"> </w:t>
      </w:r>
      <w:r w:rsidR="00A15744">
        <w:rPr>
          <w:rFonts w:eastAsiaTheme="minorHAnsi"/>
          <w:lang w:eastAsia="en-US"/>
        </w:rPr>
        <w:br/>
      </w:r>
      <w:r w:rsidR="00F34752" w:rsidRPr="00683562">
        <w:rPr>
          <w:rFonts w:eastAsiaTheme="minorHAnsi"/>
          <w:lang w:eastAsia="en-US"/>
        </w:rPr>
        <w:t>z branżą konstrukcyjno-budowlaną. W przypadku zastosowania transformatorów olejowych</w:t>
      </w:r>
      <w:r w:rsidR="00A15744">
        <w:rPr>
          <w:rFonts w:eastAsiaTheme="minorHAnsi"/>
          <w:lang w:eastAsia="en-US"/>
        </w:rPr>
        <w:t xml:space="preserve"> </w:t>
      </w:r>
      <w:r w:rsidR="00F34752" w:rsidRPr="00683562">
        <w:rPr>
          <w:rFonts w:eastAsiaTheme="minorHAnsi"/>
          <w:lang w:eastAsia="en-US"/>
        </w:rPr>
        <w:t>stacja transformatorowa będzie wyposażona w szczelną misę mogącą pomieścić co najmniej</w:t>
      </w:r>
      <w:r w:rsidR="00A15744">
        <w:rPr>
          <w:rFonts w:eastAsiaTheme="minorHAnsi"/>
          <w:lang w:eastAsia="en-US"/>
        </w:rPr>
        <w:t xml:space="preserve"> </w:t>
      </w:r>
      <w:r w:rsidR="00F34752" w:rsidRPr="00683562">
        <w:rPr>
          <w:rFonts w:eastAsiaTheme="minorHAnsi"/>
          <w:lang w:eastAsia="en-US"/>
        </w:rPr>
        <w:t>100% oleju transformatorowego.</w:t>
      </w:r>
    </w:p>
    <w:p w:rsidR="00F34752" w:rsidRPr="00683562" w:rsidRDefault="00F34752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3. Transformator - 1szt.; o mocy 1000 kVA.</w:t>
      </w:r>
    </w:p>
    <w:p w:rsidR="00F34752" w:rsidRPr="00683562" w:rsidRDefault="0012239A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Planowane jest</w:t>
      </w:r>
      <w:r w:rsidR="00F34752" w:rsidRPr="006835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</w:t>
      </w:r>
      <w:r w:rsidR="00F34752" w:rsidRPr="00683562">
        <w:rPr>
          <w:rFonts w:eastAsiaTheme="minorHAnsi"/>
          <w:lang w:eastAsia="en-US"/>
        </w:rPr>
        <w:t>astosowanie transformatora w technologii suchej (żywicznego) lub olejowego.</w:t>
      </w:r>
    </w:p>
    <w:p w:rsidR="00F34752" w:rsidRPr="00683562" w:rsidRDefault="00F34752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4. Inwertery - do 25 szt. o mocy od 30 kW do 200 kW;</w:t>
      </w:r>
    </w:p>
    <w:p w:rsidR="00F34752" w:rsidRPr="00683562" w:rsidRDefault="00F34752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Założono zastosowanie inwerterów sieciowych, beztransformatorowych wykorzystujących</w:t>
      </w:r>
      <w:r w:rsidR="001D5D1E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chłodzenie konwencjonalne (bezwentylatorowych). Dopuszcza się wykorzystanie urządzeń</w:t>
      </w:r>
      <w:r w:rsidR="001D5D1E">
        <w:rPr>
          <w:rFonts w:eastAsiaTheme="minorHAnsi"/>
          <w:lang w:eastAsia="en-US"/>
        </w:rPr>
        <w:br/>
      </w:r>
      <w:r w:rsidRPr="00683562">
        <w:rPr>
          <w:rFonts w:eastAsiaTheme="minorHAnsi"/>
          <w:lang w:eastAsia="en-US"/>
        </w:rPr>
        <w:t>z wentylatorem wewnętrznym.</w:t>
      </w:r>
    </w:p>
    <w:p w:rsidR="00F34752" w:rsidRPr="00683562" w:rsidRDefault="00F34752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 xml:space="preserve">5. </w:t>
      </w:r>
      <w:r w:rsidR="00873A45">
        <w:rPr>
          <w:rFonts w:eastAsiaTheme="minorHAnsi"/>
          <w:lang w:eastAsia="en-US"/>
        </w:rPr>
        <w:t>Inwestor n</w:t>
      </w:r>
      <w:r w:rsidRPr="00683562">
        <w:rPr>
          <w:rFonts w:eastAsiaTheme="minorHAnsi"/>
          <w:lang w:eastAsia="en-US"/>
        </w:rPr>
        <w:t>ie planuje stosowania wraz z instalacją fotowoltaiczną zintegrowanych systemów</w:t>
      </w:r>
      <w:r w:rsidR="0012239A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magazynowania energii (akumulatorów).</w:t>
      </w:r>
    </w:p>
    <w:p w:rsidR="00F34752" w:rsidRPr="00683562" w:rsidRDefault="00F34752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6. Elektrownia fotowoltaiczna nie będzie wyposażona w mechanizm zmieniający ką</w:t>
      </w:r>
      <w:r w:rsidR="00873A45">
        <w:rPr>
          <w:rFonts w:eastAsiaTheme="minorHAnsi"/>
          <w:lang w:eastAsia="en-US"/>
        </w:rPr>
        <w:t xml:space="preserve">t nachylenia </w:t>
      </w:r>
      <w:r w:rsidRPr="00683562">
        <w:rPr>
          <w:rFonts w:eastAsiaTheme="minorHAnsi"/>
          <w:lang w:eastAsia="en-US"/>
        </w:rPr>
        <w:t>modułów.</w:t>
      </w:r>
    </w:p>
    <w:p w:rsidR="008E63DD" w:rsidRPr="00683562" w:rsidRDefault="00F34752" w:rsidP="0012239A">
      <w:pPr>
        <w:pStyle w:val="Tekstpodstawowy"/>
        <w:spacing w:line="240" w:lineRule="auto"/>
        <w:ind w:right="131"/>
        <w:rPr>
          <w:b/>
          <w:spacing w:val="-4"/>
          <w:sz w:val="24"/>
          <w:szCs w:val="24"/>
        </w:rPr>
      </w:pPr>
      <w:r w:rsidRPr="00683562">
        <w:rPr>
          <w:rFonts w:eastAsiaTheme="minorHAnsi"/>
          <w:sz w:val="24"/>
          <w:szCs w:val="24"/>
          <w:lang w:eastAsia="en-US"/>
        </w:rPr>
        <w:t>7. Konstrukcja wsporcza – 1 kpl.,</w:t>
      </w:r>
    </w:p>
    <w:p w:rsidR="00E84BEA" w:rsidRPr="00683562" w:rsidRDefault="00E84BEA" w:rsidP="0012239A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Wykonana z prefabrykowanych profili stalowych. Dwupodporowa, posadowiona w gruncie</w:t>
      </w:r>
      <w:r w:rsidR="001D5D1E">
        <w:rPr>
          <w:rFonts w:eastAsiaTheme="minorHAnsi"/>
          <w:lang w:eastAsia="en-US"/>
        </w:rPr>
        <w:br/>
      </w:r>
      <w:r w:rsidRPr="00683562">
        <w:rPr>
          <w:rFonts w:eastAsiaTheme="minorHAnsi"/>
          <w:lang w:eastAsia="en-US"/>
        </w:rPr>
        <w:t>w technologii palowania, skręcana. Kąt nachylenia modłów od 15 do 35 stopni. Odległość</w:t>
      </w:r>
      <w:r w:rsidR="001D5D1E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krawędzi panelu od poziomu gruntu – od 40 cm do 100 cm. Standardowe zagłębienie podpór</w:t>
      </w:r>
    </w:p>
    <w:p w:rsidR="00E84BEA" w:rsidRPr="00683562" w:rsidRDefault="00E84BEA" w:rsidP="00FE42C5">
      <w:pPr>
        <w:autoSpaceDE w:val="0"/>
        <w:autoSpaceDN w:val="0"/>
        <w:adjustRightInd w:val="0"/>
        <w:ind w:right="131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lastRenderedPageBreak/>
        <w:t>ok. 1,5 m. W przypadku wystąpienia na terenie inwestycji gruntów niestabilnych dopuszcza</w:t>
      </w:r>
      <w:r w:rsidR="001D5D1E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się zwiększenie głębokości palowania. Docelowa głębokość palowania, zapewniająca</w:t>
      </w:r>
      <w:r w:rsidR="001D5D1E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stabilność konstrukcji, zostanie określona po wykonaniu odwiertów kontrolnych i badań</w:t>
      </w:r>
      <w:r w:rsidR="001D5D1E">
        <w:rPr>
          <w:rFonts w:eastAsiaTheme="minorHAnsi"/>
          <w:lang w:eastAsia="en-US"/>
        </w:rPr>
        <w:t xml:space="preserve"> </w:t>
      </w:r>
      <w:r w:rsidR="00FE42C5">
        <w:rPr>
          <w:rFonts w:eastAsiaTheme="minorHAnsi"/>
          <w:lang w:eastAsia="en-US"/>
        </w:rPr>
        <w:t>geologicznych gruntu. Planowane jest</w:t>
      </w:r>
      <w:r w:rsidRPr="00683562">
        <w:rPr>
          <w:rFonts w:eastAsiaTheme="minorHAnsi"/>
          <w:lang w:eastAsia="en-US"/>
        </w:rPr>
        <w:t xml:space="preserve"> zastosowanie odstępów międzyrzędowych o szerokości od</w:t>
      </w:r>
      <w:r w:rsidR="00FE42C5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2 do 6 m. Minimalna odległość paneli fotowoltaicznych od granicy działki wyniesie od 3 do</w:t>
      </w:r>
      <w:r w:rsidR="00FE42C5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5 m.</w:t>
      </w:r>
    </w:p>
    <w:p w:rsidR="00E84BEA" w:rsidRPr="00683562" w:rsidRDefault="00E84BEA" w:rsidP="004967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8. Ogrodzenie – ok. 620 mb.</w:t>
      </w:r>
    </w:p>
    <w:p w:rsidR="00E84BEA" w:rsidRPr="00683562" w:rsidRDefault="00E84BEA" w:rsidP="00C950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Teren zostanie ogrodzony wzdłuż granic inwestycji. Ogrodzenie terenu inwestycji zostanie</w:t>
      </w:r>
      <w:r w:rsidR="001D5D1E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wykonane z siatki stalowej lub paneli ogrodzeniowych montowanych na słupkach stalowych</w:t>
      </w:r>
    </w:p>
    <w:p w:rsidR="00E84BEA" w:rsidRPr="00683562" w:rsidRDefault="00E84BEA" w:rsidP="00C950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wbijanych w grunt (bez fundamentowania). Dolna krawędź siatki/modułu zostanie</w:t>
      </w:r>
      <w:r w:rsidR="003A5265">
        <w:rPr>
          <w:rFonts w:eastAsiaTheme="minorHAnsi"/>
          <w:lang w:eastAsia="en-US"/>
        </w:rPr>
        <w:t xml:space="preserve"> </w:t>
      </w:r>
      <w:r w:rsidR="001D5D1E">
        <w:rPr>
          <w:rFonts w:eastAsiaTheme="minorHAnsi"/>
          <w:lang w:eastAsia="en-US"/>
        </w:rPr>
        <w:br/>
      </w:r>
      <w:r w:rsidRPr="00683562">
        <w:rPr>
          <w:rFonts w:eastAsiaTheme="minorHAnsi"/>
          <w:lang w:eastAsia="en-US"/>
        </w:rPr>
        <w:t>zamontowana na wysokości nie mniejszej niż 10 cm nad poziomem gruntu, aby zapewnić</w:t>
      </w:r>
      <w:r w:rsidR="001D5D1E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możliwość migracji drobnej fauny. Dolna krawędź siatki zostanie zagięta tak, aby nie</w:t>
      </w:r>
      <w:r w:rsidR="00344AF2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dopuścić do wystawania ostrych elementów mogących ranić migrujące zwierzęta.</w:t>
      </w:r>
    </w:p>
    <w:p w:rsidR="00E84BEA" w:rsidRPr="00683562" w:rsidRDefault="00E84BEA" w:rsidP="00C950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Z uwagi na stały i dynamiczny rozwój technologii fotowoltaicznej oraz odległy czas finalizacji</w:t>
      </w:r>
    </w:p>
    <w:p w:rsidR="00E84BEA" w:rsidRPr="00683562" w:rsidRDefault="00E84BEA" w:rsidP="00C950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projektu niemożliwe jest precyzyjne określenie parametrów technicznych docelowych rządzeń. Ich dobór zostanie finalnie dokonany na etapie projektowania, uwzględniając dostępność aktualnych rozwiązań technologicznych oraz uwarunkowania wskazane przez operatora sieci energetycznej w Warunkach Przyłączenia.</w:t>
      </w:r>
    </w:p>
    <w:p w:rsidR="00E84BEA" w:rsidRDefault="00E84BEA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961E4" w:rsidRPr="00B961E4" w:rsidRDefault="00B961E4" w:rsidP="00292A7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961E4">
        <w:rPr>
          <w:rFonts w:eastAsiaTheme="minorHAnsi"/>
          <w:b/>
          <w:lang w:eastAsia="en-US"/>
        </w:rPr>
        <w:t>Likwidacja przedsięwzi</w:t>
      </w:r>
      <w:r>
        <w:rPr>
          <w:rFonts w:eastAsiaTheme="minorHAnsi"/>
          <w:b/>
          <w:lang w:eastAsia="en-US"/>
        </w:rPr>
        <w:t>ę</w:t>
      </w:r>
      <w:r w:rsidRPr="00B961E4">
        <w:rPr>
          <w:rFonts w:eastAsiaTheme="minorHAnsi"/>
          <w:b/>
          <w:lang w:eastAsia="en-US"/>
        </w:rPr>
        <w:t>cia</w:t>
      </w:r>
    </w:p>
    <w:p w:rsidR="00B961E4" w:rsidRPr="00B961E4" w:rsidRDefault="00B961E4" w:rsidP="00292A7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961E4" w:rsidRPr="00B961E4" w:rsidRDefault="00B961E4" w:rsidP="00B961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61E4">
        <w:rPr>
          <w:rFonts w:eastAsiaTheme="minorHAnsi"/>
          <w:lang w:eastAsia="en-US"/>
        </w:rPr>
        <w:t>Po okresie eksploatacji (po około 25 latach) planowana jest likwidacja przedsięwzięcia, która polegać będzie na demontażu paneli słonecznych wraz z infrastrukturą towarzyszącą oraz rekultywacji terenu zajmowanego przez stalową konstrukcję pod farmę fotowoltaiczną. Rozbiórka elementów farmy będzie prowadzona ręcznie. Jedynie wbite uprzednio w grunt profile będą musiały zostać wyciągnię</w:t>
      </w:r>
      <w:r>
        <w:rPr>
          <w:rFonts w:eastAsiaTheme="minorHAnsi"/>
          <w:lang w:eastAsia="en-US"/>
        </w:rPr>
        <w:t xml:space="preserve">te </w:t>
      </w:r>
      <w:r w:rsidRPr="00B961E4">
        <w:rPr>
          <w:rFonts w:eastAsiaTheme="minorHAnsi"/>
          <w:lang w:eastAsia="en-US"/>
        </w:rPr>
        <w:t>za pomocą maszyn budowlanych np. ładowarki bądź dźwigu. Załadunku dźwigiem będą równie</w:t>
      </w:r>
      <w:r>
        <w:rPr>
          <w:rFonts w:eastAsiaTheme="minorHAnsi"/>
          <w:lang w:eastAsia="en-US"/>
        </w:rPr>
        <w:t xml:space="preserve">ż </w:t>
      </w:r>
      <w:r w:rsidRPr="00B961E4">
        <w:rPr>
          <w:rFonts w:eastAsiaTheme="minorHAnsi"/>
          <w:lang w:eastAsia="en-US"/>
        </w:rPr>
        <w:t>wymagały inwertery, stacja transformatorowa. Rekultywacja bę</w:t>
      </w:r>
      <w:r>
        <w:rPr>
          <w:rFonts w:eastAsiaTheme="minorHAnsi"/>
          <w:lang w:eastAsia="en-US"/>
        </w:rPr>
        <w:t xml:space="preserve">dzie miała na celu przywrócenie </w:t>
      </w:r>
      <w:r w:rsidRPr="00B961E4">
        <w:rPr>
          <w:rFonts w:eastAsiaTheme="minorHAnsi"/>
          <w:lang w:eastAsia="en-US"/>
        </w:rPr>
        <w:t>środowiska glebowego do stanu przed-realizacyjnego oraz uzupeł</w:t>
      </w:r>
      <w:r>
        <w:rPr>
          <w:rFonts w:eastAsiaTheme="minorHAnsi"/>
          <w:lang w:eastAsia="en-US"/>
        </w:rPr>
        <w:t xml:space="preserve">nieniu ewentualnych ubytków mas </w:t>
      </w:r>
      <w:r w:rsidRPr="00B961E4">
        <w:rPr>
          <w:rFonts w:eastAsiaTheme="minorHAnsi"/>
          <w:lang w:eastAsia="en-US"/>
        </w:rPr>
        <w:t>ziemnych powstałych w wyniku prowadzenia wykopów.</w:t>
      </w:r>
    </w:p>
    <w:p w:rsidR="00B961E4" w:rsidRPr="00B961E4" w:rsidRDefault="00B961E4" w:rsidP="00B961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61E4">
        <w:rPr>
          <w:rFonts w:eastAsiaTheme="minorHAnsi"/>
          <w:lang w:eastAsia="en-US"/>
        </w:rPr>
        <w:t>Technologia fotowoltaiczna minimalizuje ryzyko negatywnego wpływu na ś</w:t>
      </w:r>
      <w:r>
        <w:rPr>
          <w:rFonts w:eastAsiaTheme="minorHAnsi"/>
          <w:lang w:eastAsia="en-US"/>
        </w:rPr>
        <w:t xml:space="preserve">rodowisko </w:t>
      </w:r>
      <w:r>
        <w:rPr>
          <w:rFonts w:eastAsiaTheme="minorHAnsi"/>
          <w:lang w:eastAsia="en-US"/>
        </w:rPr>
        <w:br/>
        <w:t xml:space="preserve">w wyniku </w:t>
      </w:r>
      <w:r w:rsidRPr="00B961E4">
        <w:rPr>
          <w:rFonts w:eastAsiaTheme="minorHAnsi"/>
          <w:lang w:eastAsia="en-US"/>
        </w:rPr>
        <w:t>utylizacji demontowanych urządzeń. Komponenty modułów fotowoltaicznych poddawane s</w:t>
      </w:r>
      <w:r>
        <w:rPr>
          <w:rFonts w:eastAsiaTheme="minorHAnsi"/>
          <w:lang w:eastAsia="en-US"/>
        </w:rPr>
        <w:t xml:space="preserve">ą </w:t>
      </w:r>
      <w:r w:rsidRPr="00B961E4">
        <w:rPr>
          <w:rFonts w:eastAsiaTheme="minorHAnsi"/>
          <w:lang w:eastAsia="en-US"/>
        </w:rPr>
        <w:t xml:space="preserve">recyklingowi. Konstrukcja wsporcza w postaci stali również będzie mogła być </w:t>
      </w:r>
      <w:r>
        <w:rPr>
          <w:rFonts w:eastAsiaTheme="minorHAnsi"/>
          <w:lang w:eastAsia="en-US"/>
        </w:rPr>
        <w:t xml:space="preserve">ponownie </w:t>
      </w:r>
      <w:r w:rsidRPr="00B961E4">
        <w:rPr>
          <w:rFonts w:eastAsiaTheme="minorHAnsi"/>
          <w:lang w:eastAsia="en-US"/>
        </w:rPr>
        <w:t>wykorzystana po procesie recyklingu. Dotyczy to również kabli e</w:t>
      </w:r>
      <w:r>
        <w:rPr>
          <w:rFonts w:eastAsiaTheme="minorHAnsi"/>
          <w:lang w:eastAsia="en-US"/>
        </w:rPr>
        <w:t xml:space="preserve">lektroenergetycznych wykonanych </w:t>
      </w:r>
      <w:r w:rsidRPr="00B961E4">
        <w:rPr>
          <w:rFonts w:eastAsiaTheme="minorHAnsi"/>
          <w:lang w:eastAsia="en-US"/>
        </w:rPr>
        <w:t>z aluminium i miedzi, a więc metali, mogących być powtórnie wykorzystanych.</w:t>
      </w:r>
    </w:p>
    <w:p w:rsidR="00B961E4" w:rsidRPr="00B961E4" w:rsidRDefault="00B961E4" w:rsidP="00B961E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E84BEA" w:rsidRPr="00683562" w:rsidRDefault="00E84BEA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t>Przewidywane zapotrzebowanie całej inwestycji na: wodę, surowce,</w:t>
      </w:r>
      <w:r w:rsidR="003A5265">
        <w:rPr>
          <w:rFonts w:eastAsiaTheme="minorHAnsi"/>
          <w:b/>
          <w:bCs/>
          <w:lang w:eastAsia="en-US"/>
        </w:rPr>
        <w:t xml:space="preserve"> </w:t>
      </w:r>
      <w:r w:rsidRPr="00683562">
        <w:rPr>
          <w:rFonts w:eastAsiaTheme="minorHAnsi"/>
          <w:b/>
          <w:bCs/>
          <w:lang w:eastAsia="en-US"/>
        </w:rPr>
        <w:t xml:space="preserve">materiały, paliwa </w:t>
      </w:r>
      <w:r w:rsidR="003A5265">
        <w:rPr>
          <w:rFonts w:eastAsiaTheme="minorHAnsi"/>
          <w:b/>
          <w:bCs/>
          <w:lang w:eastAsia="en-US"/>
        </w:rPr>
        <w:br/>
      </w:r>
      <w:r w:rsidRPr="00683562">
        <w:rPr>
          <w:rFonts w:eastAsiaTheme="minorHAnsi"/>
          <w:b/>
          <w:bCs/>
          <w:lang w:eastAsia="en-US"/>
        </w:rPr>
        <w:t>i energie, w tym sposób realizacji zapotrzebowania na</w:t>
      </w:r>
      <w:r w:rsidR="003A5265">
        <w:rPr>
          <w:rFonts w:eastAsiaTheme="minorHAnsi"/>
          <w:b/>
          <w:bCs/>
          <w:lang w:eastAsia="en-US"/>
        </w:rPr>
        <w:t xml:space="preserve"> </w:t>
      </w:r>
      <w:r w:rsidRPr="00683562">
        <w:rPr>
          <w:rFonts w:eastAsiaTheme="minorHAnsi"/>
          <w:b/>
          <w:bCs/>
          <w:lang w:eastAsia="en-US"/>
        </w:rPr>
        <w:t>wodę, paliwa, ciepło, parę wodną, itp.</w:t>
      </w:r>
    </w:p>
    <w:p w:rsidR="00E84BEA" w:rsidRPr="003B720F" w:rsidRDefault="00E84BEA" w:rsidP="00292A7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B720F">
        <w:rPr>
          <w:rFonts w:eastAsiaTheme="minorHAnsi"/>
          <w:bCs/>
          <w:lang w:eastAsia="en-US"/>
        </w:rPr>
        <w:t>Etap budowy instalacji</w:t>
      </w:r>
    </w:p>
    <w:p w:rsidR="00E84BEA" w:rsidRPr="00683562" w:rsidRDefault="00E84BEA" w:rsidP="0005563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W związku z budową instalacji fotowoltaicznej zakłada się przewidywane zużycie</w:t>
      </w:r>
      <w:r w:rsidR="00AC13AC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materiałów, surowców, energii i paliw dla elektrowni fotowoltaicznej:</w:t>
      </w:r>
    </w:p>
    <w:p w:rsidR="00E84BEA" w:rsidRPr="00683562" w:rsidRDefault="00E84BEA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Stal/aluminium – do 300 Mg,</w:t>
      </w:r>
    </w:p>
    <w:p w:rsidR="00140E09" w:rsidRPr="00683562" w:rsidRDefault="00140E09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Olej napędowy – do 6 m</w:t>
      </w:r>
      <w:r w:rsidRPr="00FA1949">
        <w:rPr>
          <w:rFonts w:eastAsiaTheme="minorHAnsi"/>
          <w:vertAlign w:val="superscript"/>
          <w:lang w:eastAsia="en-US"/>
        </w:rPr>
        <w:t>3</w:t>
      </w:r>
      <w:r w:rsidRPr="00683562">
        <w:rPr>
          <w:rFonts w:eastAsiaTheme="minorHAnsi"/>
          <w:lang w:eastAsia="en-US"/>
        </w:rPr>
        <w:t xml:space="preserve"> ,</w:t>
      </w:r>
    </w:p>
    <w:p w:rsidR="00140E09" w:rsidRPr="00683562" w:rsidRDefault="00140E09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Woda na cele socjalno-bytowe – 2,25 m</w:t>
      </w:r>
      <w:r w:rsidRPr="00FA1949">
        <w:rPr>
          <w:rFonts w:eastAsiaTheme="minorHAnsi"/>
          <w:vertAlign w:val="superscript"/>
          <w:lang w:eastAsia="en-US"/>
        </w:rPr>
        <w:t>3</w:t>
      </w:r>
      <w:r w:rsidRPr="00683562">
        <w:rPr>
          <w:rFonts w:eastAsiaTheme="minorHAnsi"/>
          <w:lang w:eastAsia="en-US"/>
        </w:rPr>
        <w:t>,</w:t>
      </w:r>
    </w:p>
    <w:p w:rsidR="00140E09" w:rsidRDefault="00B325B6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Inwestor szacuje</w:t>
      </w:r>
      <w:r w:rsidR="00140E09" w:rsidRPr="00683562">
        <w:rPr>
          <w:rFonts w:eastAsiaTheme="minorHAnsi"/>
          <w:lang w:eastAsia="en-US"/>
        </w:rPr>
        <w:t>, że zuż</w:t>
      </w:r>
      <w:r w:rsidR="00FA1949">
        <w:rPr>
          <w:rFonts w:eastAsiaTheme="minorHAnsi"/>
          <w:lang w:eastAsia="en-US"/>
        </w:rPr>
        <w:t xml:space="preserve">ycie wody dostarczanej </w:t>
      </w:r>
      <w:r w:rsidR="00140E09" w:rsidRPr="00683562">
        <w:rPr>
          <w:rFonts w:eastAsiaTheme="minorHAnsi"/>
          <w:lang w:eastAsia="en-US"/>
        </w:rPr>
        <w:t xml:space="preserve">w zbiornikach przewoźnych oraz </w:t>
      </w:r>
      <w:r>
        <w:rPr>
          <w:rFonts w:eastAsiaTheme="minorHAnsi"/>
          <w:lang w:eastAsia="en-US"/>
        </w:rPr>
        <w:br/>
      </w:r>
      <w:r w:rsidR="00140E09" w:rsidRPr="00683562">
        <w:rPr>
          <w:rFonts w:eastAsiaTheme="minorHAnsi"/>
          <w:lang w:eastAsia="en-US"/>
        </w:rPr>
        <w:t>w zbiornikach toalet przenośnych, w c</w:t>
      </w:r>
      <w:r w:rsidR="00FA1949">
        <w:rPr>
          <w:rFonts w:eastAsiaTheme="minorHAnsi"/>
          <w:lang w:eastAsia="en-US"/>
        </w:rPr>
        <w:t xml:space="preserve">zasie realizacji inwestycji nie </w:t>
      </w:r>
      <w:r w:rsidR="00140E09" w:rsidRPr="00683562">
        <w:rPr>
          <w:rFonts w:eastAsiaTheme="minorHAnsi"/>
          <w:lang w:eastAsia="en-US"/>
        </w:rPr>
        <w:t>przekroczy 1/2 normy, tj. 2,25 m</w:t>
      </w:r>
      <w:r w:rsidR="00140E09" w:rsidRPr="00FA1949">
        <w:rPr>
          <w:rFonts w:eastAsiaTheme="minorHAnsi"/>
          <w:vertAlign w:val="superscript"/>
          <w:lang w:eastAsia="en-US"/>
        </w:rPr>
        <w:t>3</w:t>
      </w:r>
      <w:r w:rsidR="00140E09" w:rsidRPr="00683562">
        <w:rPr>
          <w:rFonts w:eastAsiaTheme="minorHAnsi"/>
          <w:lang w:eastAsia="en-US"/>
        </w:rPr>
        <w:t>.</w:t>
      </w:r>
    </w:p>
    <w:p w:rsidR="003A5E8D" w:rsidRPr="00683562" w:rsidRDefault="003A5E8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0E09" w:rsidRPr="00683562" w:rsidRDefault="00140E09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lastRenderedPageBreak/>
        <w:t>Etap eksploatacji instalacji</w:t>
      </w:r>
    </w:p>
    <w:p w:rsidR="00140E09" w:rsidRPr="00683562" w:rsidRDefault="00140E09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Szacunkowe zapotrzebowanie na wodę: ok. 1,5 m</w:t>
      </w:r>
      <w:r w:rsidRPr="003B720F">
        <w:rPr>
          <w:rFonts w:eastAsiaTheme="minorHAnsi"/>
          <w:vertAlign w:val="superscript"/>
          <w:lang w:eastAsia="en-US"/>
        </w:rPr>
        <w:t>3</w:t>
      </w:r>
      <w:r w:rsidRPr="00683562">
        <w:rPr>
          <w:rFonts w:eastAsiaTheme="minorHAnsi"/>
          <w:lang w:eastAsia="en-US"/>
        </w:rPr>
        <w:t>/rok</w:t>
      </w:r>
    </w:p>
    <w:p w:rsidR="002740B3" w:rsidRPr="00683562" w:rsidRDefault="00140E09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Szacunkowe zapotrzebowanie na energię</w:t>
      </w:r>
      <w:r w:rsidR="003B720F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elektryczną: 10 MWh/rok</w:t>
      </w:r>
    </w:p>
    <w:p w:rsidR="00C120AD" w:rsidRPr="00683562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20AD" w:rsidRPr="00683562" w:rsidRDefault="00C120AD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t>Ewentualne warianty przedsięwzięcia</w:t>
      </w:r>
    </w:p>
    <w:p w:rsidR="00C120AD" w:rsidRPr="00683562" w:rsidRDefault="00C120AD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83562">
        <w:rPr>
          <w:rFonts w:eastAsiaTheme="minorHAnsi"/>
          <w:b/>
          <w:bCs/>
          <w:lang w:eastAsia="en-US"/>
        </w:rPr>
        <w:t>Wariant Inwestorski – budowa instalacji fotowoltaicznej o mocy do 1000 kWp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Wariant inwestorski zakłada budowę i montaż zespołu urządzeń infrastruktury technicznej</w:t>
      </w:r>
      <w:r w:rsidR="0005563F" w:rsidRPr="006E6F46">
        <w:rPr>
          <w:rFonts w:eastAsiaTheme="minorHAnsi"/>
          <w:lang w:eastAsia="en-US"/>
        </w:rPr>
        <w:t xml:space="preserve"> </w:t>
      </w:r>
      <w:r w:rsidRPr="006E6F46">
        <w:rPr>
          <w:rFonts w:eastAsiaTheme="minorHAnsi"/>
          <w:lang w:eastAsia="en-US"/>
        </w:rPr>
        <w:t>przeznaczonych do wytwarzania energii elektrycznej z odnawialnych źródeł energii tj.</w:t>
      </w:r>
      <w:r w:rsidR="0005563F" w:rsidRPr="006E6F46">
        <w:rPr>
          <w:rFonts w:eastAsiaTheme="minorHAnsi"/>
          <w:lang w:eastAsia="en-US"/>
        </w:rPr>
        <w:t xml:space="preserve"> </w:t>
      </w:r>
      <w:r w:rsidRPr="006E6F46">
        <w:rPr>
          <w:rFonts w:eastAsiaTheme="minorHAnsi"/>
          <w:lang w:eastAsia="en-US"/>
        </w:rPr>
        <w:t>promieniowania słonecznego.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Projekt przewiduje realizację zespołu urządzeń obejmującą:</w:t>
      </w:r>
    </w:p>
    <w:p w:rsidR="00C120AD" w:rsidRPr="006E6F46" w:rsidRDefault="006E6F46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-</w:t>
      </w:r>
      <w:r w:rsidR="00C120AD" w:rsidRPr="006E6F46">
        <w:rPr>
          <w:rFonts w:eastAsiaTheme="minorHAnsi"/>
          <w:lang w:eastAsia="en-US"/>
        </w:rPr>
        <w:t>Moduły fotowoltaiczne.</w:t>
      </w:r>
    </w:p>
    <w:p w:rsidR="00C120AD" w:rsidRPr="006E6F46" w:rsidRDefault="003B720F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Inwestor z</w:t>
      </w:r>
      <w:r w:rsidR="00C120AD" w:rsidRPr="006E6F46">
        <w:rPr>
          <w:rFonts w:eastAsiaTheme="minorHAnsi"/>
          <w:lang w:eastAsia="en-US"/>
        </w:rPr>
        <w:t>akłada wykorzystanie modułów fotowoltaicznych wykonanych w technologii</w:t>
      </w:r>
      <w:r w:rsidR="0005563F" w:rsidRPr="006E6F46">
        <w:rPr>
          <w:rFonts w:eastAsiaTheme="minorHAnsi"/>
          <w:lang w:eastAsia="en-US"/>
        </w:rPr>
        <w:t xml:space="preserve"> </w:t>
      </w:r>
      <w:r w:rsidR="00C120AD" w:rsidRPr="006E6F46">
        <w:rPr>
          <w:rFonts w:eastAsiaTheme="minorHAnsi"/>
          <w:lang w:eastAsia="en-US"/>
        </w:rPr>
        <w:t xml:space="preserve">krystalicznej; </w:t>
      </w:r>
      <w:r w:rsidR="00C120AD" w:rsidRPr="006E6F46">
        <w:rPr>
          <w:rFonts w:eastAsiaTheme="minorHAnsi"/>
          <w:b/>
          <w:bCs/>
          <w:lang w:eastAsia="en-US"/>
        </w:rPr>
        <w:t xml:space="preserve">minimalna </w:t>
      </w:r>
      <w:r w:rsidR="00C120AD" w:rsidRPr="006E6F46">
        <w:rPr>
          <w:rFonts w:eastAsiaTheme="minorHAnsi"/>
          <w:lang w:eastAsia="en-US"/>
        </w:rPr>
        <w:t>moc znamionowa modułu fotowoltaicznego, określana</w:t>
      </w:r>
      <w:r w:rsidR="0005563F" w:rsidRPr="006E6F46">
        <w:rPr>
          <w:rFonts w:eastAsiaTheme="minorHAnsi"/>
          <w:lang w:eastAsia="en-US"/>
        </w:rPr>
        <w:t xml:space="preserve"> </w:t>
      </w:r>
      <w:r w:rsidR="0005563F" w:rsidRPr="006E6F46">
        <w:rPr>
          <w:rFonts w:eastAsiaTheme="minorHAnsi"/>
          <w:lang w:eastAsia="en-US"/>
        </w:rPr>
        <w:br/>
      </w:r>
      <w:r w:rsidR="00C120AD" w:rsidRPr="006E6F46">
        <w:rPr>
          <w:rFonts w:eastAsiaTheme="minorHAnsi"/>
          <w:lang w:eastAsia="en-US"/>
        </w:rPr>
        <w:t>w standardowych warunkach testowych (ang. Standard Test Conditions STC: krotność drogi</w:t>
      </w:r>
      <w:r w:rsidR="0005563F" w:rsidRPr="006E6F46">
        <w:rPr>
          <w:rFonts w:eastAsiaTheme="minorHAnsi"/>
          <w:lang w:eastAsia="en-US"/>
        </w:rPr>
        <w:t xml:space="preserve"> </w:t>
      </w:r>
      <w:r w:rsidR="00C120AD" w:rsidRPr="006E6F46">
        <w:rPr>
          <w:rFonts w:eastAsiaTheme="minorHAnsi"/>
          <w:lang w:eastAsia="en-US"/>
        </w:rPr>
        <w:t>promieni słonecznych przez atmosferę tzw. Air Mass = 1,5; natężenie promieniowania</w:t>
      </w:r>
      <w:r w:rsidR="006E6F46" w:rsidRPr="006E6F46">
        <w:rPr>
          <w:rFonts w:eastAsiaTheme="minorHAnsi"/>
          <w:lang w:eastAsia="en-US"/>
        </w:rPr>
        <w:t xml:space="preserve"> </w:t>
      </w:r>
      <w:r w:rsidR="00C120AD" w:rsidRPr="006E6F46">
        <w:rPr>
          <w:rFonts w:eastAsiaTheme="minorHAnsi"/>
          <w:lang w:eastAsia="en-US"/>
        </w:rPr>
        <w:t xml:space="preserve">słonecznego = 1000W/m2; temperatura = 25oC) wynosi </w:t>
      </w:r>
      <w:r w:rsidR="00C120AD" w:rsidRPr="006E6F46">
        <w:rPr>
          <w:rFonts w:eastAsiaTheme="minorHAnsi"/>
          <w:b/>
          <w:bCs/>
          <w:lang w:eastAsia="en-US"/>
        </w:rPr>
        <w:t>320 Wp</w:t>
      </w:r>
      <w:r w:rsidR="00C120AD" w:rsidRPr="006E6F46">
        <w:rPr>
          <w:rFonts w:eastAsiaTheme="minorHAnsi"/>
          <w:lang w:eastAsia="en-US"/>
        </w:rPr>
        <w:t>.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Konstrukcja wsporcza – wykonana z prefabrykowanych elementów stalowych,</w:t>
      </w:r>
      <w:r w:rsidR="006E6F46" w:rsidRPr="006E6F46">
        <w:rPr>
          <w:rFonts w:eastAsiaTheme="minorHAnsi"/>
          <w:lang w:eastAsia="en-US"/>
        </w:rPr>
        <w:t xml:space="preserve"> </w:t>
      </w:r>
      <w:r w:rsidRPr="006E6F46">
        <w:rPr>
          <w:rFonts w:eastAsiaTheme="minorHAnsi"/>
          <w:lang w:eastAsia="en-US"/>
        </w:rPr>
        <w:t>dwupodporowa, o kącie nachylenia od 15 do 35 stopni;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· Kable stałoprądowe – kable łączące poszczególne panele fotowoltaiczne, służące do</w:t>
      </w:r>
      <w:r w:rsidR="006E6F46" w:rsidRPr="006E6F46">
        <w:rPr>
          <w:rFonts w:eastAsiaTheme="minorHAnsi"/>
          <w:lang w:eastAsia="en-US"/>
        </w:rPr>
        <w:t xml:space="preserve"> </w:t>
      </w:r>
      <w:r w:rsidRPr="006E6F46">
        <w:rPr>
          <w:rFonts w:eastAsiaTheme="minorHAnsi"/>
          <w:lang w:eastAsia="en-US"/>
        </w:rPr>
        <w:t>przesyłania energii elektrycznej do inwerterów;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· Kable zmiennoprądowe – służące do przesyłania energii elektrycznej z inwerterów do</w:t>
      </w:r>
      <w:r w:rsidR="006E6F46" w:rsidRPr="006E6F46">
        <w:rPr>
          <w:rFonts w:eastAsiaTheme="minorHAnsi"/>
          <w:lang w:eastAsia="en-US"/>
        </w:rPr>
        <w:t xml:space="preserve"> </w:t>
      </w:r>
      <w:r w:rsidRPr="006E6F46">
        <w:rPr>
          <w:rFonts w:eastAsiaTheme="minorHAnsi"/>
          <w:lang w:eastAsia="en-US"/>
        </w:rPr>
        <w:t>przyłącza elektroenergetycznego;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· Rozdzielnice elektryczne – aparatury zabezpieczające instalację;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· Inwertery – urządzenia służące do konwersji energii elektrycznej, tj. przetworzenie prądu</w:t>
      </w:r>
      <w:r w:rsidR="006E6F46" w:rsidRPr="006E6F46">
        <w:rPr>
          <w:rFonts w:eastAsiaTheme="minorHAnsi"/>
          <w:lang w:eastAsia="en-US"/>
        </w:rPr>
        <w:t xml:space="preserve"> </w:t>
      </w:r>
      <w:r w:rsidRPr="006E6F46">
        <w:rPr>
          <w:rFonts w:eastAsiaTheme="minorHAnsi"/>
          <w:lang w:eastAsia="en-US"/>
        </w:rPr>
        <w:t>stałego na prąd przemienny;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· Kontenerowa stacja transformatorowa SN/nN;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· Infrastruktura towarzysząca: m.in. ogrodzenie, systemy technicznej ochrony mienia.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Powierzchnia przeznaczona pod budowę instalacji obejmie 0,6 ha.</w:t>
      </w:r>
    </w:p>
    <w:p w:rsidR="00C120AD" w:rsidRPr="006E6F46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6F46">
        <w:rPr>
          <w:rFonts w:eastAsiaTheme="minorHAnsi"/>
          <w:lang w:eastAsia="en-US"/>
        </w:rPr>
        <w:t>Obszar inwestycji obejmie grunty kl. RIV, RV, ŁIV.</w:t>
      </w:r>
    </w:p>
    <w:p w:rsidR="00755BA5" w:rsidRPr="00683562" w:rsidRDefault="00755BA5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20AD" w:rsidRPr="00683562" w:rsidRDefault="00A74C24" w:rsidP="00292A7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Wariant real</w:t>
      </w:r>
      <w:r w:rsidR="00F238D4">
        <w:rPr>
          <w:rFonts w:eastAsiaTheme="minorHAnsi"/>
          <w:b/>
          <w:bCs/>
          <w:lang w:eastAsia="en-US"/>
        </w:rPr>
        <w:t>i</w:t>
      </w:r>
      <w:r>
        <w:rPr>
          <w:rFonts w:eastAsiaTheme="minorHAnsi"/>
          <w:b/>
          <w:bCs/>
          <w:lang w:eastAsia="en-US"/>
        </w:rPr>
        <w:t>zacyjny</w:t>
      </w:r>
    </w:p>
    <w:p w:rsidR="00C120AD" w:rsidRPr="00683562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 xml:space="preserve">W ramach przedsięwzięcia wariantem </w:t>
      </w:r>
      <w:r w:rsidR="00F238D4">
        <w:rPr>
          <w:rFonts w:eastAsiaTheme="minorHAnsi"/>
          <w:lang w:eastAsia="en-US"/>
        </w:rPr>
        <w:t xml:space="preserve">najkorzystniejszym dla </w:t>
      </w:r>
      <w:r w:rsidR="00A462E9">
        <w:rPr>
          <w:rFonts w:eastAsiaTheme="minorHAnsi"/>
          <w:lang w:eastAsia="en-US"/>
        </w:rPr>
        <w:t>ś</w:t>
      </w:r>
      <w:r w:rsidR="00F238D4">
        <w:rPr>
          <w:rFonts w:eastAsiaTheme="minorHAnsi"/>
          <w:lang w:eastAsia="en-US"/>
        </w:rPr>
        <w:t>rodowiska</w:t>
      </w:r>
      <w:r w:rsidRPr="00683562">
        <w:rPr>
          <w:rFonts w:eastAsiaTheme="minorHAnsi"/>
          <w:lang w:eastAsia="en-US"/>
        </w:rPr>
        <w:t xml:space="preserve"> jest </w:t>
      </w:r>
      <w:r w:rsidR="00D540A5">
        <w:rPr>
          <w:rFonts w:eastAsiaTheme="minorHAnsi"/>
          <w:lang w:eastAsia="en-US"/>
        </w:rPr>
        <w:t>w</w:t>
      </w:r>
      <w:r w:rsidRPr="00683562">
        <w:rPr>
          <w:rFonts w:eastAsiaTheme="minorHAnsi"/>
          <w:lang w:eastAsia="en-US"/>
        </w:rPr>
        <w:t xml:space="preserve">ariant </w:t>
      </w:r>
      <w:r w:rsidR="00D540A5">
        <w:rPr>
          <w:rFonts w:eastAsiaTheme="minorHAnsi"/>
          <w:lang w:eastAsia="en-US"/>
        </w:rPr>
        <w:t>i</w:t>
      </w:r>
      <w:r w:rsidRPr="00683562">
        <w:rPr>
          <w:rFonts w:eastAsiaTheme="minorHAnsi"/>
          <w:lang w:eastAsia="en-US"/>
        </w:rPr>
        <w:t>nwestorski</w:t>
      </w:r>
      <w:r w:rsidR="00D540A5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polegający na zajęciu jak najmniejszego obszaru, a tym samym na ograniczonym oddziaływaniu na</w:t>
      </w:r>
      <w:r w:rsidR="00062D7A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środowisko zostawiając większą powierzchnię biologicznie czynną, przy jednoczesnym zachowaniu</w:t>
      </w:r>
      <w:r w:rsidR="00062D7A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charakterystycznych parametrów techniczno- ekonomicznych planowanego przedsięwzięcia.</w:t>
      </w:r>
    </w:p>
    <w:p w:rsidR="00C120AD" w:rsidRPr="00683562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Zwarta zabudowa zmniejszy wymaganą powierzchnię instalacji z zachowaniem zaplanowanej mocy.</w:t>
      </w:r>
    </w:p>
    <w:p w:rsidR="00C120AD" w:rsidRPr="00683562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 xml:space="preserve">Efektywne wykorzystanie dostępnej powierzchni wpłynie na efekt ekologiczny, jak </w:t>
      </w:r>
      <w:r w:rsidR="00062D7A">
        <w:rPr>
          <w:rFonts w:eastAsiaTheme="minorHAnsi"/>
          <w:lang w:eastAsia="en-US"/>
        </w:rPr>
        <w:br/>
      </w:r>
      <w:r w:rsidRPr="00683562">
        <w:rPr>
          <w:rFonts w:eastAsiaTheme="minorHAnsi"/>
          <w:lang w:eastAsia="en-US"/>
        </w:rPr>
        <w:t>i ekonomiczny</w:t>
      </w:r>
      <w:r w:rsidR="00062D7A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inwestycji.</w:t>
      </w:r>
    </w:p>
    <w:p w:rsidR="00C120AD" w:rsidRPr="00683562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Przewiduje się, iż zmiana dotychczasowego sposobu użytkowania gruntów o niskich walorach</w:t>
      </w:r>
    </w:p>
    <w:p w:rsidR="00C120AD" w:rsidRDefault="00C120AD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562">
        <w:rPr>
          <w:rFonts w:eastAsiaTheme="minorHAnsi"/>
          <w:lang w:eastAsia="en-US"/>
        </w:rPr>
        <w:t>przydatności rolniczej dla celów energetyki słonecznej i pozostawieniu naturalnej sukcesji przyczyni</w:t>
      </w:r>
      <w:r w:rsidR="00D540A5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się do zwiększenia różnorodności fitocenotycznej roślin niskopiennych oraz traw. Zwiększy to tym</w:t>
      </w:r>
      <w:r w:rsidR="00D540A5">
        <w:rPr>
          <w:rFonts w:eastAsiaTheme="minorHAnsi"/>
          <w:lang w:eastAsia="en-US"/>
        </w:rPr>
        <w:t xml:space="preserve"> </w:t>
      </w:r>
      <w:r w:rsidRPr="00683562">
        <w:rPr>
          <w:rFonts w:eastAsiaTheme="minorHAnsi"/>
          <w:lang w:eastAsia="en-US"/>
        </w:rPr>
        <w:t>samym atrakcyjność siedliska dla zwierząt, szczególnie owadów.</w:t>
      </w:r>
    </w:p>
    <w:p w:rsidR="00B46D3E" w:rsidRDefault="00B46D3E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6D3E" w:rsidRDefault="00B46D3E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6D3E" w:rsidRDefault="00B46D3E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6D3E" w:rsidRDefault="00B46D3E" w:rsidP="00292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6D3E" w:rsidRDefault="00B46D3E" w:rsidP="00B46D3E">
      <w:pPr>
        <w:widowControl w:val="0"/>
        <w:autoSpaceDE w:val="0"/>
        <w:autoSpaceDN w:val="0"/>
        <w:adjustRightInd w:val="0"/>
        <w:spacing w:line="273" w:lineRule="atLeast"/>
        <w:jc w:val="center"/>
      </w:pPr>
      <w:r>
        <w:t xml:space="preserve">                                                                                                                   Wójt</w:t>
      </w:r>
    </w:p>
    <w:p w:rsidR="00B46D3E" w:rsidRPr="00C953F3" w:rsidRDefault="00B46D3E" w:rsidP="00C953F3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Le</w:t>
      </w:r>
      <w:r w:rsidR="00C953F3">
        <w:t xml:space="preserve">szek Surdy                     </w:t>
      </w:r>
    </w:p>
    <w:sectPr w:rsidR="00B46D3E" w:rsidRPr="00C953F3" w:rsidSect="000A1D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12" w:rsidRDefault="00845112" w:rsidP="006B61A2">
      <w:r>
        <w:separator/>
      </w:r>
    </w:p>
  </w:endnote>
  <w:endnote w:type="continuationSeparator" w:id="0">
    <w:p w:rsidR="00845112" w:rsidRDefault="00845112" w:rsidP="006B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1868551980"/>
      <w:docPartObj>
        <w:docPartGallery w:val="Page Numbers (Bottom of Page)"/>
        <w:docPartUnique/>
      </w:docPartObj>
    </w:sdtPr>
    <w:sdtEndPr/>
    <w:sdtContent>
      <w:p w:rsidR="006B61A2" w:rsidRPr="006B61A2" w:rsidRDefault="006B61A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B61A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B61A2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B61A2">
          <w:rPr>
            <w:sz w:val="20"/>
            <w:szCs w:val="20"/>
          </w:rPr>
          <w:instrText>PAGE    \* MERGEFORMAT</w:instrText>
        </w:r>
        <w:r w:rsidRPr="006B61A2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8F010A" w:rsidRPr="008F010A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B61A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B61A2" w:rsidRDefault="006B6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12" w:rsidRDefault="00845112" w:rsidP="006B61A2">
      <w:r>
        <w:separator/>
      </w:r>
    </w:p>
  </w:footnote>
  <w:footnote w:type="continuationSeparator" w:id="0">
    <w:p w:rsidR="00845112" w:rsidRDefault="00845112" w:rsidP="006B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580"/>
    <w:multiLevelType w:val="hybridMultilevel"/>
    <w:tmpl w:val="F01275D6"/>
    <w:lvl w:ilvl="0" w:tplc="3CC239D4">
      <w:start w:val="1"/>
      <w:numFmt w:val="bullet"/>
      <w:lvlText w:val="-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4A369F"/>
    <w:multiLevelType w:val="hybridMultilevel"/>
    <w:tmpl w:val="70DE883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2AD1FCD"/>
    <w:multiLevelType w:val="multilevel"/>
    <w:tmpl w:val="55B0B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178B6878"/>
    <w:multiLevelType w:val="hybridMultilevel"/>
    <w:tmpl w:val="078CC0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E586B"/>
    <w:multiLevelType w:val="hybridMultilevel"/>
    <w:tmpl w:val="21B2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B47"/>
    <w:multiLevelType w:val="multilevel"/>
    <w:tmpl w:val="8378F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E5F6D"/>
    <w:multiLevelType w:val="hybridMultilevel"/>
    <w:tmpl w:val="60EE0BCA"/>
    <w:lvl w:ilvl="0" w:tplc="D370170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600F"/>
    <w:multiLevelType w:val="hybridMultilevel"/>
    <w:tmpl w:val="42ECE152"/>
    <w:lvl w:ilvl="0" w:tplc="C1067EF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9D72A1"/>
    <w:multiLevelType w:val="hybridMultilevel"/>
    <w:tmpl w:val="DD7A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D449C"/>
    <w:multiLevelType w:val="hybridMultilevel"/>
    <w:tmpl w:val="31168E0A"/>
    <w:lvl w:ilvl="0" w:tplc="9A7E816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24069"/>
    <w:multiLevelType w:val="hybridMultilevel"/>
    <w:tmpl w:val="B56C9FD6"/>
    <w:lvl w:ilvl="0" w:tplc="3BCA0540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3B452F"/>
    <w:multiLevelType w:val="hybridMultilevel"/>
    <w:tmpl w:val="DAF457F0"/>
    <w:lvl w:ilvl="0" w:tplc="290AC4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0A66"/>
    <w:multiLevelType w:val="hybridMultilevel"/>
    <w:tmpl w:val="E0EA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10"/>
  </w:num>
  <w:num w:numId="20">
    <w:abstractNumId w:val="13"/>
  </w:num>
  <w:num w:numId="21">
    <w:abstractNumId w:val="8"/>
  </w:num>
  <w:num w:numId="22">
    <w:abstractNumId w:val="5"/>
  </w:num>
  <w:num w:numId="23">
    <w:abstractNumId w:val="2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B916A629-8536-4229-9F14-44BAF836C46E}"/>
  </w:docVars>
  <w:rsids>
    <w:rsidRoot w:val="005318AB"/>
    <w:rsid w:val="00001746"/>
    <w:rsid w:val="0000423E"/>
    <w:rsid w:val="0000508E"/>
    <w:rsid w:val="0000635E"/>
    <w:rsid w:val="00010D37"/>
    <w:rsid w:val="00010D56"/>
    <w:rsid w:val="00020826"/>
    <w:rsid w:val="00027F70"/>
    <w:rsid w:val="00032BC3"/>
    <w:rsid w:val="00032ED9"/>
    <w:rsid w:val="00040744"/>
    <w:rsid w:val="000410CC"/>
    <w:rsid w:val="00044A46"/>
    <w:rsid w:val="00052B9A"/>
    <w:rsid w:val="0005563F"/>
    <w:rsid w:val="00057365"/>
    <w:rsid w:val="00062392"/>
    <w:rsid w:val="00062C7C"/>
    <w:rsid w:val="00062D7A"/>
    <w:rsid w:val="0006460A"/>
    <w:rsid w:val="00067192"/>
    <w:rsid w:val="00067402"/>
    <w:rsid w:val="00071AEF"/>
    <w:rsid w:val="00077DAF"/>
    <w:rsid w:val="00092BBD"/>
    <w:rsid w:val="00093A95"/>
    <w:rsid w:val="00097600"/>
    <w:rsid w:val="00097916"/>
    <w:rsid w:val="000A0FD6"/>
    <w:rsid w:val="000A1480"/>
    <w:rsid w:val="000A1D12"/>
    <w:rsid w:val="000A5534"/>
    <w:rsid w:val="000A7511"/>
    <w:rsid w:val="000B07DF"/>
    <w:rsid w:val="000B62E4"/>
    <w:rsid w:val="000C2129"/>
    <w:rsid w:val="000C40CD"/>
    <w:rsid w:val="000C6264"/>
    <w:rsid w:val="000C6C6E"/>
    <w:rsid w:val="000C73CF"/>
    <w:rsid w:val="000D001B"/>
    <w:rsid w:val="000D2649"/>
    <w:rsid w:val="000D436F"/>
    <w:rsid w:val="000D714F"/>
    <w:rsid w:val="000E0308"/>
    <w:rsid w:val="000E2062"/>
    <w:rsid w:val="000E3AFF"/>
    <w:rsid w:val="000E7637"/>
    <w:rsid w:val="000F3174"/>
    <w:rsid w:val="000F351B"/>
    <w:rsid w:val="00100E21"/>
    <w:rsid w:val="00104C7E"/>
    <w:rsid w:val="00105040"/>
    <w:rsid w:val="00105542"/>
    <w:rsid w:val="00106BA9"/>
    <w:rsid w:val="001101E4"/>
    <w:rsid w:val="00110A17"/>
    <w:rsid w:val="00113F3C"/>
    <w:rsid w:val="00121641"/>
    <w:rsid w:val="0012239A"/>
    <w:rsid w:val="0012619F"/>
    <w:rsid w:val="00126AF2"/>
    <w:rsid w:val="00130998"/>
    <w:rsid w:val="00132162"/>
    <w:rsid w:val="0013411A"/>
    <w:rsid w:val="001375F6"/>
    <w:rsid w:val="00140E09"/>
    <w:rsid w:val="00143DEA"/>
    <w:rsid w:val="00155AB8"/>
    <w:rsid w:val="00165998"/>
    <w:rsid w:val="00170656"/>
    <w:rsid w:val="001821A0"/>
    <w:rsid w:val="00190B16"/>
    <w:rsid w:val="001944FB"/>
    <w:rsid w:val="001974BE"/>
    <w:rsid w:val="001B16DE"/>
    <w:rsid w:val="001B4281"/>
    <w:rsid w:val="001C3713"/>
    <w:rsid w:val="001D31A9"/>
    <w:rsid w:val="001D5D1E"/>
    <w:rsid w:val="001D7B13"/>
    <w:rsid w:val="001E0588"/>
    <w:rsid w:val="001E19EE"/>
    <w:rsid w:val="001E3C82"/>
    <w:rsid w:val="001E4B06"/>
    <w:rsid w:val="001E64A3"/>
    <w:rsid w:val="001E6D3E"/>
    <w:rsid w:val="001E70DF"/>
    <w:rsid w:val="001F5145"/>
    <w:rsid w:val="00200BF8"/>
    <w:rsid w:val="002027C7"/>
    <w:rsid w:val="00204BBE"/>
    <w:rsid w:val="00211AEA"/>
    <w:rsid w:val="00215DA3"/>
    <w:rsid w:val="0021635A"/>
    <w:rsid w:val="00220393"/>
    <w:rsid w:val="00222AAB"/>
    <w:rsid w:val="0022466E"/>
    <w:rsid w:val="002253C0"/>
    <w:rsid w:val="00227E26"/>
    <w:rsid w:val="002316B4"/>
    <w:rsid w:val="00233781"/>
    <w:rsid w:val="00235680"/>
    <w:rsid w:val="00237392"/>
    <w:rsid w:val="002375C7"/>
    <w:rsid w:val="00237DF6"/>
    <w:rsid w:val="00244538"/>
    <w:rsid w:val="00244982"/>
    <w:rsid w:val="0024651B"/>
    <w:rsid w:val="00246FA8"/>
    <w:rsid w:val="002511A0"/>
    <w:rsid w:val="002542AF"/>
    <w:rsid w:val="002620D4"/>
    <w:rsid w:val="00262509"/>
    <w:rsid w:val="00262520"/>
    <w:rsid w:val="00267ADA"/>
    <w:rsid w:val="002740B3"/>
    <w:rsid w:val="0028045C"/>
    <w:rsid w:val="00281E98"/>
    <w:rsid w:val="00287720"/>
    <w:rsid w:val="00292A72"/>
    <w:rsid w:val="00293E68"/>
    <w:rsid w:val="00297348"/>
    <w:rsid w:val="002A0B78"/>
    <w:rsid w:val="002A46E0"/>
    <w:rsid w:val="002B1DE9"/>
    <w:rsid w:val="002B5DDD"/>
    <w:rsid w:val="002B75AC"/>
    <w:rsid w:val="002C1E41"/>
    <w:rsid w:val="002C232E"/>
    <w:rsid w:val="002C4554"/>
    <w:rsid w:val="002C6459"/>
    <w:rsid w:val="002D1C5D"/>
    <w:rsid w:val="002D5535"/>
    <w:rsid w:val="002E0F87"/>
    <w:rsid w:val="002E13F8"/>
    <w:rsid w:val="002E30F7"/>
    <w:rsid w:val="002E6238"/>
    <w:rsid w:val="002E69C5"/>
    <w:rsid w:val="002F0E99"/>
    <w:rsid w:val="002F3B76"/>
    <w:rsid w:val="002F46AD"/>
    <w:rsid w:val="002F78A5"/>
    <w:rsid w:val="00302D86"/>
    <w:rsid w:val="003100E0"/>
    <w:rsid w:val="00311FB1"/>
    <w:rsid w:val="003148F0"/>
    <w:rsid w:val="003154EE"/>
    <w:rsid w:val="00316719"/>
    <w:rsid w:val="0032060D"/>
    <w:rsid w:val="00325596"/>
    <w:rsid w:val="0033089D"/>
    <w:rsid w:val="0033105B"/>
    <w:rsid w:val="00332C1C"/>
    <w:rsid w:val="0033692C"/>
    <w:rsid w:val="00336BF4"/>
    <w:rsid w:val="00340551"/>
    <w:rsid w:val="0034122A"/>
    <w:rsid w:val="00342B18"/>
    <w:rsid w:val="00344AF2"/>
    <w:rsid w:val="0034798A"/>
    <w:rsid w:val="0035737D"/>
    <w:rsid w:val="0036141B"/>
    <w:rsid w:val="00363F89"/>
    <w:rsid w:val="003654F8"/>
    <w:rsid w:val="00365F55"/>
    <w:rsid w:val="003702F6"/>
    <w:rsid w:val="003743A3"/>
    <w:rsid w:val="00377372"/>
    <w:rsid w:val="00387A9F"/>
    <w:rsid w:val="00395834"/>
    <w:rsid w:val="003A0710"/>
    <w:rsid w:val="003A13CA"/>
    <w:rsid w:val="003A2F16"/>
    <w:rsid w:val="003A375C"/>
    <w:rsid w:val="003A5265"/>
    <w:rsid w:val="003A5E8D"/>
    <w:rsid w:val="003B42C6"/>
    <w:rsid w:val="003B62B9"/>
    <w:rsid w:val="003B720F"/>
    <w:rsid w:val="003C0C4A"/>
    <w:rsid w:val="003C10E8"/>
    <w:rsid w:val="003C46ED"/>
    <w:rsid w:val="003E4A64"/>
    <w:rsid w:val="003E76ED"/>
    <w:rsid w:val="003F19A4"/>
    <w:rsid w:val="003F2EAE"/>
    <w:rsid w:val="003F76FC"/>
    <w:rsid w:val="00400EE9"/>
    <w:rsid w:val="00405CD1"/>
    <w:rsid w:val="00407C24"/>
    <w:rsid w:val="004111CA"/>
    <w:rsid w:val="0041566C"/>
    <w:rsid w:val="00415DA6"/>
    <w:rsid w:val="0041624E"/>
    <w:rsid w:val="00416F3B"/>
    <w:rsid w:val="00421894"/>
    <w:rsid w:val="00425F22"/>
    <w:rsid w:val="004261D6"/>
    <w:rsid w:val="0042665A"/>
    <w:rsid w:val="0043249B"/>
    <w:rsid w:val="004337E8"/>
    <w:rsid w:val="00433B55"/>
    <w:rsid w:val="00434C6E"/>
    <w:rsid w:val="0044383E"/>
    <w:rsid w:val="00445F4A"/>
    <w:rsid w:val="00450C5C"/>
    <w:rsid w:val="004521F9"/>
    <w:rsid w:val="00452BD0"/>
    <w:rsid w:val="0045328B"/>
    <w:rsid w:val="00462F3B"/>
    <w:rsid w:val="0046628F"/>
    <w:rsid w:val="00466326"/>
    <w:rsid w:val="00466CBE"/>
    <w:rsid w:val="00467DD9"/>
    <w:rsid w:val="004759D0"/>
    <w:rsid w:val="0048309B"/>
    <w:rsid w:val="00487F27"/>
    <w:rsid w:val="004938AF"/>
    <w:rsid w:val="004967D9"/>
    <w:rsid w:val="004A0AB9"/>
    <w:rsid w:val="004A6A2B"/>
    <w:rsid w:val="004B109C"/>
    <w:rsid w:val="004B2903"/>
    <w:rsid w:val="004B43CF"/>
    <w:rsid w:val="004B4CC1"/>
    <w:rsid w:val="004B6974"/>
    <w:rsid w:val="004B6C21"/>
    <w:rsid w:val="004B7007"/>
    <w:rsid w:val="004C0721"/>
    <w:rsid w:val="004C0D03"/>
    <w:rsid w:val="004C0E69"/>
    <w:rsid w:val="004C18D9"/>
    <w:rsid w:val="004C5914"/>
    <w:rsid w:val="004C5F7E"/>
    <w:rsid w:val="004C6D96"/>
    <w:rsid w:val="004C78D3"/>
    <w:rsid w:val="004E35B2"/>
    <w:rsid w:val="004E4BFC"/>
    <w:rsid w:val="004E5371"/>
    <w:rsid w:val="004E55F3"/>
    <w:rsid w:val="004F3C53"/>
    <w:rsid w:val="004F546B"/>
    <w:rsid w:val="00500113"/>
    <w:rsid w:val="005019BD"/>
    <w:rsid w:val="005035BE"/>
    <w:rsid w:val="0050681B"/>
    <w:rsid w:val="00506D19"/>
    <w:rsid w:val="00511AE1"/>
    <w:rsid w:val="005124AB"/>
    <w:rsid w:val="00512E98"/>
    <w:rsid w:val="00513D96"/>
    <w:rsid w:val="005169EB"/>
    <w:rsid w:val="005215CE"/>
    <w:rsid w:val="00525928"/>
    <w:rsid w:val="005259D6"/>
    <w:rsid w:val="00525E70"/>
    <w:rsid w:val="005318AB"/>
    <w:rsid w:val="00533630"/>
    <w:rsid w:val="0054236D"/>
    <w:rsid w:val="005436F7"/>
    <w:rsid w:val="0054696B"/>
    <w:rsid w:val="00551547"/>
    <w:rsid w:val="00552721"/>
    <w:rsid w:val="00553D7B"/>
    <w:rsid w:val="00556D4D"/>
    <w:rsid w:val="00557370"/>
    <w:rsid w:val="0057387D"/>
    <w:rsid w:val="00576463"/>
    <w:rsid w:val="0057701E"/>
    <w:rsid w:val="00577B01"/>
    <w:rsid w:val="00587572"/>
    <w:rsid w:val="005935EB"/>
    <w:rsid w:val="00597394"/>
    <w:rsid w:val="005A2AD5"/>
    <w:rsid w:val="005A3A25"/>
    <w:rsid w:val="005B2C81"/>
    <w:rsid w:val="005B589D"/>
    <w:rsid w:val="005C061D"/>
    <w:rsid w:val="005C3AAB"/>
    <w:rsid w:val="005C3C35"/>
    <w:rsid w:val="005C5EAB"/>
    <w:rsid w:val="005D18BB"/>
    <w:rsid w:val="005D29CB"/>
    <w:rsid w:val="005D4221"/>
    <w:rsid w:val="005D79BD"/>
    <w:rsid w:val="005D7BC0"/>
    <w:rsid w:val="005E0051"/>
    <w:rsid w:val="005E0DF9"/>
    <w:rsid w:val="005E14A6"/>
    <w:rsid w:val="005E2702"/>
    <w:rsid w:val="005E3D60"/>
    <w:rsid w:val="005E4E81"/>
    <w:rsid w:val="005E742E"/>
    <w:rsid w:val="005F17DF"/>
    <w:rsid w:val="005F6DBF"/>
    <w:rsid w:val="00600D4B"/>
    <w:rsid w:val="00610B3E"/>
    <w:rsid w:val="00625583"/>
    <w:rsid w:val="00630178"/>
    <w:rsid w:val="00632D4E"/>
    <w:rsid w:val="00636E03"/>
    <w:rsid w:val="00641630"/>
    <w:rsid w:val="006426DF"/>
    <w:rsid w:val="0064744E"/>
    <w:rsid w:val="00647859"/>
    <w:rsid w:val="00651B30"/>
    <w:rsid w:val="00651DB7"/>
    <w:rsid w:val="0065209E"/>
    <w:rsid w:val="006566E6"/>
    <w:rsid w:val="00662F46"/>
    <w:rsid w:val="00671B37"/>
    <w:rsid w:val="006756BD"/>
    <w:rsid w:val="0067653D"/>
    <w:rsid w:val="006805D2"/>
    <w:rsid w:val="00680F29"/>
    <w:rsid w:val="00683562"/>
    <w:rsid w:val="00683D85"/>
    <w:rsid w:val="00685559"/>
    <w:rsid w:val="006864BF"/>
    <w:rsid w:val="00695AB1"/>
    <w:rsid w:val="00697A5B"/>
    <w:rsid w:val="006A6074"/>
    <w:rsid w:val="006B2915"/>
    <w:rsid w:val="006B3BE6"/>
    <w:rsid w:val="006B4563"/>
    <w:rsid w:val="006B4776"/>
    <w:rsid w:val="006B61A2"/>
    <w:rsid w:val="006B6B07"/>
    <w:rsid w:val="006B7CB2"/>
    <w:rsid w:val="006C1965"/>
    <w:rsid w:val="006D1B31"/>
    <w:rsid w:val="006D4AF0"/>
    <w:rsid w:val="006E0A67"/>
    <w:rsid w:val="006E4582"/>
    <w:rsid w:val="006E6F46"/>
    <w:rsid w:val="006F327C"/>
    <w:rsid w:val="00706CE2"/>
    <w:rsid w:val="00713AE6"/>
    <w:rsid w:val="00717614"/>
    <w:rsid w:val="00721795"/>
    <w:rsid w:val="0073034A"/>
    <w:rsid w:val="007360C2"/>
    <w:rsid w:val="00736EBF"/>
    <w:rsid w:val="007407B5"/>
    <w:rsid w:val="007445B6"/>
    <w:rsid w:val="00747009"/>
    <w:rsid w:val="00747033"/>
    <w:rsid w:val="00750B6C"/>
    <w:rsid w:val="007521D5"/>
    <w:rsid w:val="007552B4"/>
    <w:rsid w:val="0075571F"/>
    <w:rsid w:val="00755BA5"/>
    <w:rsid w:val="00756A53"/>
    <w:rsid w:val="00767F35"/>
    <w:rsid w:val="007745CC"/>
    <w:rsid w:val="00774EB2"/>
    <w:rsid w:val="00783F17"/>
    <w:rsid w:val="00784723"/>
    <w:rsid w:val="0078472B"/>
    <w:rsid w:val="00785C2D"/>
    <w:rsid w:val="0079111A"/>
    <w:rsid w:val="00792A99"/>
    <w:rsid w:val="007941D6"/>
    <w:rsid w:val="00794426"/>
    <w:rsid w:val="007964C8"/>
    <w:rsid w:val="007A4F9D"/>
    <w:rsid w:val="007B0550"/>
    <w:rsid w:val="007B1DE3"/>
    <w:rsid w:val="007B2F42"/>
    <w:rsid w:val="007C34CB"/>
    <w:rsid w:val="007C44D3"/>
    <w:rsid w:val="007C553C"/>
    <w:rsid w:val="007C6222"/>
    <w:rsid w:val="007D33DC"/>
    <w:rsid w:val="007D4C51"/>
    <w:rsid w:val="007D6C5D"/>
    <w:rsid w:val="007D75FD"/>
    <w:rsid w:val="007E1126"/>
    <w:rsid w:val="007E16A2"/>
    <w:rsid w:val="007E30BC"/>
    <w:rsid w:val="007E41E4"/>
    <w:rsid w:val="007E5D56"/>
    <w:rsid w:val="007E799A"/>
    <w:rsid w:val="007F08C4"/>
    <w:rsid w:val="007F0CEC"/>
    <w:rsid w:val="007F16EB"/>
    <w:rsid w:val="007F2CF7"/>
    <w:rsid w:val="007F2F5B"/>
    <w:rsid w:val="007F4F42"/>
    <w:rsid w:val="008004E8"/>
    <w:rsid w:val="0080069F"/>
    <w:rsid w:val="008017D7"/>
    <w:rsid w:val="008103BC"/>
    <w:rsid w:val="00810755"/>
    <w:rsid w:val="00813D78"/>
    <w:rsid w:val="00820983"/>
    <w:rsid w:val="00831A18"/>
    <w:rsid w:val="00832BA0"/>
    <w:rsid w:val="008356F3"/>
    <w:rsid w:val="00836281"/>
    <w:rsid w:val="00836E8B"/>
    <w:rsid w:val="0084037A"/>
    <w:rsid w:val="00842DCC"/>
    <w:rsid w:val="00842DDF"/>
    <w:rsid w:val="00845112"/>
    <w:rsid w:val="00851521"/>
    <w:rsid w:val="00857B8F"/>
    <w:rsid w:val="00873004"/>
    <w:rsid w:val="00873A45"/>
    <w:rsid w:val="00874115"/>
    <w:rsid w:val="0088414A"/>
    <w:rsid w:val="008855CA"/>
    <w:rsid w:val="00887093"/>
    <w:rsid w:val="00890B63"/>
    <w:rsid w:val="008A06F7"/>
    <w:rsid w:val="008A3459"/>
    <w:rsid w:val="008A7E71"/>
    <w:rsid w:val="008B066C"/>
    <w:rsid w:val="008B1AA9"/>
    <w:rsid w:val="008B5BFE"/>
    <w:rsid w:val="008B7CBB"/>
    <w:rsid w:val="008B7FD9"/>
    <w:rsid w:val="008C106B"/>
    <w:rsid w:val="008C32D3"/>
    <w:rsid w:val="008C69BF"/>
    <w:rsid w:val="008C69D3"/>
    <w:rsid w:val="008E0802"/>
    <w:rsid w:val="008E0F0A"/>
    <w:rsid w:val="008E13B0"/>
    <w:rsid w:val="008E176E"/>
    <w:rsid w:val="008E203E"/>
    <w:rsid w:val="008E3C9D"/>
    <w:rsid w:val="008E63DD"/>
    <w:rsid w:val="008E665A"/>
    <w:rsid w:val="008F010A"/>
    <w:rsid w:val="008F256B"/>
    <w:rsid w:val="008F4909"/>
    <w:rsid w:val="008F5326"/>
    <w:rsid w:val="008F65CC"/>
    <w:rsid w:val="008F675B"/>
    <w:rsid w:val="008F6891"/>
    <w:rsid w:val="0090319F"/>
    <w:rsid w:val="00903719"/>
    <w:rsid w:val="0090424A"/>
    <w:rsid w:val="00904C52"/>
    <w:rsid w:val="00922431"/>
    <w:rsid w:val="00923774"/>
    <w:rsid w:val="00932494"/>
    <w:rsid w:val="00937CAA"/>
    <w:rsid w:val="00942265"/>
    <w:rsid w:val="00946285"/>
    <w:rsid w:val="00953F51"/>
    <w:rsid w:val="009566B6"/>
    <w:rsid w:val="00957580"/>
    <w:rsid w:val="00960D87"/>
    <w:rsid w:val="00961918"/>
    <w:rsid w:val="00961BCB"/>
    <w:rsid w:val="00962536"/>
    <w:rsid w:val="00963252"/>
    <w:rsid w:val="00963548"/>
    <w:rsid w:val="009642AF"/>
    <w:rsid w:val="00964593"/>
    <w:rsid w:val="00977CB8"/>
    <w:rsid w:val="0098149D"/>
    <w:rsid w:val="009828EB"/>
    <w:rsid w:val="009845B8"/>
    <w:rsid w:val="00986232"/>
    <w:rsid w:val="009917A3"/>
    <w:rsid w:val="0099186D"/>
    <w:rsid w:val="00996B9C"/>
    <w:rsid w:val="009A02D7"/>
    <w:rsid w:val="009A0D29"/>
    <w:rsid w:val="009B244D"/>
    <w:rsid w:val="009B5144"/>
    <w:rsid w:val="009C1AEB"/>
    <w:rsid w:val="009C37C4"/>
    <w:rsid w:val="009C38D7"/>
    <w:rsid w:val="009C390E"/>
    <w:rsid w:val="009C5012"/>
    <w:rsid w:val="009C692E"/>
    <w:rsid w:val="009D5846"/>
    <w:rsid w:val="009D6383"/>
    <w:rsid w:val="009E211C"/>
    <w:rsid w:val="009F7568"/>
    <w:rsid w:val="00A01F1D"/>
    <w:rsid w:val="00A02EFA"/>
    <w:rsid w:val="00A067C9"/>
    <w:rsid w:val="00A112CC"/>
    <w:rsid w:val="00A15744"/>
    <w:rsid w:val="00A21EB9"/>
    <w:rsid w:val="00A2257C"/>
    <w:rsid w:val="00A247DD"/>
    <w:rsid w:val="00A250F9"/>
    <w:rsid w:val="00A32E17"/>
    <w:rsid w:val="00A462E9"/>
    <w:rsid w:val="00A5087C"/>
    <w:rsid w:val="00A53702"/>
    <w:rsid w:val="00A55A7B"/>
    <w:rsid w:val="00A56172"/>
    <w:rsid w:val="00A5778A"/>
    <w:rsid w:val="00A64B99"/>
    <w:rsid w:val="00A66A43"/>
    <w:rsid w:val="00A66E62"/>
    <w:rsid w:val="00A74C24"/>
    <w:rsid w:val="00A750D2"/>
    <w:rsid w:val="00A7662E"/>
    <w:rsid w:val="00A8076A"/>
    <w:rsid w:val="00A85C49"/>
    <w:rsid w:val="00A863E0"/>
    <w:rsid w:val="00AA514E"/>
    <w:rsid w:val="00AA515B"/>
    <w:rsid w:val="00AA6927"/>
    <w:rsid w:val="00AB2676"/>
    <w:rsid w:val="00AB32F1"/>
    <w:rsid w:val="00AB4B63"/>
    <w:rsid w:val="00AC13AC"/>
    <w:rsid w:val="00AC1774"/>
    <w:rsid w:val="00AC2DBA"/>
    <w:rsid w:val="00AC5C75"/>
    <w:rsid w:val="00AD0D20"/>
    <w:rsid w:val="00AD0EFF"/>
    <w:rsid w:val="00AD1463"/>
    <w:rsid w:val="00AD3641"/>
    <w:rsid w:val="00AD5699"/>
    <w:rsid w:val="00AE0926"/>
    <w:rsid w:val="00AF333B"/>
    <w:rsid w:val="00AF3EFB"/>
    <w:rsid w:val="00AF5843"/>
    <w:rsid w:val="00AF7786"/>
    <w:rsid w:val="00B11A1F"/>
    <w:rsid w:val="00B133C5"/>
    <w:rsid w:val="00B325B6"/>
    <w:rsid w:val="00B4015F"/>
    <w:rsid w:val="00B44D4C"/>
    <w:rsid w:val="00B46D3E"/>
    <w:rsid w:val="00B4748B"/>
    <w:rsid w:val="00B52206"/>
    <w:rsid w:val="00B5435D"/>
    <w:rsid w:val="00B60139"/>
    <w:rsid w:val="00B6795B"/>
    <w:rsid w:val="00B67FFB"/>
    <w:rsid w:val="00B74B5C"/>
    <w:rsid w:val="00B7507D"/>
    <w:rsid w:val="00B76A63"/>
    <w:rsid w:val="00B81880"/>
    <w:rsid w:val="00B83222"/>
    <w:rsid w:val="00B92952"/>
    <w:rsid w:val="00B961E4"/>
    <w:rsid w:val="00B96A46"/>
    <w:rsid w:val="00BA5F46"/>
    <w:rsid w:val="00BA6569"/>
    <w:rsid w:val="00BA6A1B"/>
    <w:rsid w:val="00BB010A"/>
    <w:rsid w:val="00BB4BA6"/>
    <w:rsid w:val="00BB524D"/>
    <w:rsid w:val="00BC22F0"/>
    <w:rsid w:val="00BD01E7"/>
    <w:rsid w:val="00BD4527"/>
    <w:rsid w:val="00BD46B8"/>
    <w:rsid w:val="00BD534F"/>
    <w:rsid w:val="00BD53E8"/>
    <w:rsid w:val="00BD5F73"/>
    <w:rsid w:val="00BE4E0E"/>
    <w:rsid w:val="00BE6F27"/>
    <w:rsid w:val="00BE7148"/>
    <w:rsid w:val="00BF083F"/>
    <w:rsid w:val="00BF1325"/>
    <w:rsid w:val="00BF40D1"/>
    <w:rsid w:val="00BF448C"/>
    <w:rsid w:val="00C01F9F"/>
    <w:rsid w:val="00C02008"/>
    <w:rsid w:val="00C02444"/>
    <w:rsid w:val="00C07D13"/>
    <w:rsid w:val="00C07F4E"/>
    <w:rsid w:val="00C120AD"/>
    <w:rsid w:val="00C14ADF"/>
    <w:rsid w:val="00C15FEC"/>
    <w:rsid w:val="00C16686"/>
    <w:rsid w:val="00C22E12"/>
    <w:rsid w:val="00C2441B"/>
    <w:rsid w:val="00C27EF4"/>
    <w:rsid w:val="00C30BD2"/>
    <w:rsid w:val="00C3236D"/>
    <w:rsid w:val="00C32562"/>
    <w:rsid w:val="00C348C8"/>
    <w:rsid w:val="00C50EB4"/>
    <w:rsid w:val="00C53EA4"/>
    <w:rsid w:val="00C54153"/>
    <w:rsid w:val="00C56C57"/>
    <w:rsid w:val="00C5799F"/>
    <w:rsid w:val="00C57AB3"/>
    <w:rsid w:val="00C61CA8"/>
    <w:rsid w:val="00C64560"/>
    <w:rsid w:val="00C67A33"/>
    <w:rsid w:val="00C73441"/>
    <w:rsid w:val="00C83588"/>
    <w:rsid w:val="00C83DEF"/>
    <w:rsid w:val="00C91A72"/>
    <w:rsid w:val="00C91E53"/>
    <w:rsid w:val="00C93684"/>
    <w:rsid w:val="00C94FBB"/>
    <w:rsid w:val="00C950DD"/>
    <w:rsid w:val="00C953F3"/>
    <w:rsid w:val="00C970EC"/>
    <w:rsid w:val="00CA2622"/>
    <w:rsid w:val="00CA28BE"/>
    <w:rsid w:val="00CA4A51"/>
    <w:rsid w:val="00CA5901"/>
    <w:rsid w:val="00CB51D4"/>
    <w:rsid w:val="00CB60A8"/>
    <w:rsid w:val="00CB75A6"/>
    <w:rsid w:val="00CC1265"/>
    <w:rsid w:val="00CC25A7"/>
    <w:rsid w:val="00CC697B"/>
    <w:rsid w:val="00CD0982"/>
    <w:rsid w:val="00CD668E"/>
    <w:rsid w:val="00CE0A53"/>
    <w:rsid w:val="00CE143C"/>
    <w:rsid w:val="00CE198C"/>
    <w:rsid w:val="00CE3F80"/>
    <w:rsid w:val="00CE692C"/>
    <w:rsid w:val="00CF1D1A"/>
    <w:rsid w:val="00CF70FD"/>
    <w:rsid w:val="00D05AC3"/>
    <w:rsid w:val="00D13A68"/>
    <w:rsid w:val="00D176C5"/>
    <w:rsid w:val="00D246C3"/>
    <w:rsid w:val="00D308E8"/>
    <w:rsid w:val="00D30D4A"/>
    <w:rsid w:val="00D31425"/>
    <w:rsid w:val="00D32044"/>
    <w:rsid w:val="00D44012"/>
    <w:rsid w:val="00D45D90"/>
    <w:rsid w:val="00D4740A"/>
    <w:rsid w:val="00D534E2"/>
    <w:rsid w:val="00D540A5"/>
    <w:rsid w:val="00D55D8E"/>
    <w:rsid w:val="00D6146A"/>
    <w:rsid w:val="00D61FF6"/>
    <w:rsid w:val="00D950F9"/>
    <w:rsid w:val="00D9650D"/>
    <w:rsid w:val="00D97F6C"/>
    <w:rsid w:val="00DA0CD5"/>
    <w:rsid w:val="00DA1E10"/>
    <w:rsid w:val="00DA365B"/>
    <w:rsid w:val="00DA5B52"/>
    <w:rsid w:val="00DA5F2E"/>
    <w:rsid w:val="00DB3963"/>
    <w:rsid w:val="00DB4634"/>
    <w:rsid w:val="00DB5F6C"/>
    <w:rsid w:val="00DC037C"/>
    <w:rsid w:val="00DC0B9C"/>
    <w:rsid w:val="00DC4DFC"/>
    <w:rsid w:val="00DC6BDA"/>
    <w:rsid w:val="00DD0546"/>
    <w:rsid w:val="00DD1914"/>
    <w:rsid w:val="00DD300F"/>
    <w:rsid w:val="00DD4C32"/>
    <w:rsid w:val="00DD6DE2"/>
    <w:rsid w:val="00DD7589"/>
    <w:rsid w:val="00DD7EB1"/>
    <w:rsid w:val="00DE0886"/>
    <w:rsid w:val="00DE33E8"/>
    <w:rsid w:val="00DE5213"/>
    <w:rsid w:val="00DF1663"/>
    <w:rsid w:val="00DF6AD4"/>
    <w:rsid w:val="00DF748B"/>
    <w:rsid w:val="00E00358"/>
    <w:rsid w:val="00E03B93"/>
    <w:rsid w:val="00E07255"/>
    <w:rsid w:val="00E10409"/>
    <w:rsid w:val="00E13442"/>
    <w:rsid w:val="00E17FC4"/>
    <w:rsid w:val="00E25CCD"/>
    <w:rsid w:val="00E3051F"/>
    <w:rsid w:val="00E313BF"/>
    <w:rsid w:val="00E31D1A"/>
    <w:rsid w:val="00E42358"/>
    <w:rsid w:val="00E42CC4"/>
    <w:rsid w:val="00E51D24"/>
    <w:rsid w:val="00E646A6"/>
    <w:rsid w:val="00E654D1"/>
    <w:rsid w:val="00E7112D"/>
    <w:rsid w:val="00E7298E"/>
    <w:rsid w:val="00E84BEA"/>
    <w:rsid w:val="00E86A83"/>
    <w:rsid w:val="00E947A3"/>
    <w:rsid w:val="00E955AE"/>
    <w:rsid w:val="00E955DC"/>
    <w:rsid w:val="00E95F92"/>
    <w:rsid w:val="00E97D1B"/>
    <w:rsid w:val="00EA1862"/>
    <w:rsid w:val="00EA1B2D"/>
    <w:rsid w:val="00EA1F7B"/>
    <w:rsid w:val="00EA4EBA"/>
    <w:rsid w:val="00EA5895"/>
    <w:rsid w:val="00EA744D"/>
    <w:rsid w:val="00EA74EF"/>
    <w:rsid w:val="00EB74B2"/>
    <w:rsid w:val="00EC2463"/>
    <w:rsid w:val="00EC4501"/>
    <w:rsid w:val="00EC49EC"/>
    <w:rsid w:val="00EC687F"/>
    <w:rsid w:val="00ED19BE"/>
    <w:rsid w:val="00ED6C2B"/>
    <w:rsid w:val="00EE05BA"/>
    <w:rsid w:val="00EE18FC"/>
    <w:rsid w:val="00EE1BBB"/>
    <w:rsid w:val="00EE22F2"/>
    <w:rsid w:val="00EE3F3D"/>
    <w:rsid w:val="00EE561C"/>
    <w:rsid w:val="00EE5F45"/>
    <w:rsid w:val="00EF566A"/>
    <w:rsid w:val="00EF5F58"/>
    <w:rsid w:val="00F019EC"/>
    <w:rsid w:val="00F075BD"/>
    <w:rsid w:val="00F10B03"/>
    <w:rsid w:val="00F14551"/>
    <w:rsid w:val="00F156AA"/>
    <w:rsid w:val="00F238D4"/>
    <w:rsid w:val="00F256C7"/>
    <w:rsid w:val="00F31416"/>
    <w:rsid w:val="00F342AD"/>
    <w:rsid w:val="00F34752"/>
    <w:rsid w:val="00F36FF1"/>
    <w:rsid w:val="00F525F1"/>
    <w:rsid w:val="00F55E2E"/>
    <w:rsid w:val="00F61B21"/>
    <w:rsid w:val="00F66EED"/>
    <w:rsid w:val="00F71742"/>
    <w:rsid w:val="00F7710F"/>
    <w:rsid w:val="00F80EEE"/>
    <w:rsid w:val="00F8449E"/>
    <w:rsid w:val="00F85BF9"/>
    <w:rsid w:val="00F920C9"/>
    <w:rsid w:val="00FA1949"/>
    <w:rsid w:val="00FA2625"/>
    <w:rsid w:val="00FA593C"/>
    <w:rsid w:val="00FB1677"/>
    <w:rsid w:val="00FB2D60"/>
    <w:rsid w:val="00FB2E7B"/>
    <w:rsid w:val="00FB53AA"/>
    <w:rsid w:val="00FB5434"/>
    <w:rsid w:val="00FB5723"/>
    <w:rsid w:val="00FC0DC3"/>
    <w:rsid w:val="00FD7F32"/>
    <w:rsid w:val="00FE35C3"/>
    <w:rsid w:val="00FE42C5"/>
    <w:rsid w:val="00FF38A7"/>
    <w:rsid w:val="00FF6706"/>
    <w:rsid w:val="00FF7AF3"/>
    <w:rsid w:val="00FF7B8C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2B306F7-EC6C-492E-B9FA-DAEDAC5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5C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D09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aliases w:val="Akapit z nr"/>
    <w:basedOn w:val="Normalny"/>
    <w:link w:val="AkapitzlistZnak"/>
    <w:uiPriority w:val="34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227E26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27E26"/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227E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CB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nr Znak"/>
    <w:link w:val="Akapitzlist"/>
    <w:uiPriority w:val="34"/>
    <w:locked/>
    <w:rsid w:val="00DD05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tekstuZnak">
    <w:name w:val="Treść tekstu Znak"/>
    <w:basedOn w:val="Domylnaczcionkaakapitu"/>
    <w:link w:val="Tretekstu"/>
    <w:locked/>
    <w:rsid w:val="00DD0546"/>
    <w:rPr>
      <w:rFonts w:ascii="Open Sans" w:eastAsia="SimSun" w:hAnsi="Open Sans" w:cs="Mangal"/>
      <w:kern w:val="3"/>
      <w:lang w:eastAsia="zh-CN" w:bidi="hi-IN"/>
    </w:rPr>
  </w:style>
  <w:style w:type="paragraph" w:customStyle="1" w:styleId="Tretekstu">
    <w:name w:val="Treść tekstu"/>
    <w:basedOn w:val="Normalny"/>
    <w:link w:val="TretekstuZnak"/>
    <w:qFormat/>
    <w:rsid w:val="00DD0546"/>
    <w:pPr>
      <w:widowControl w:val="0"/>
      <w:autoSpaceDN w:val="0"/>
      <w:ind w:firstLine="567"/>
      <w:contextualSpacing/>
      <w:jc w:val="both"/>
    </w:pPr>
    <w:rPr>
      <w:rFonts w:ascii="Open Sans" w:eastAsia="SimSun" w:hAnsi="Open Sans" w:cs="Mangal"/>
      <w:kern w:val="3"/>
      <w:sz w:val="22"/>
      <w:szCs w:val="22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6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5C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E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D09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09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0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15FEC"/>
    <w:pPr>
      <w:widowControl w:val="0"/>
      <w:suppressAutoHyphens/>
      <w:spacing w:after="60"/>
      <w:jc w:val="both"/>
      <w:outlineLvl w:val="1"/>
    </w:pPr>
    <w:rPr>
      <w:rFonts w:ascii="Arial" w:hAnsi="Arial"/>
      <w:b/>
      <w:kern w:val="2"/>
      <w:sz w:val="22"/>
    </w:rPr>
  </w:style>
  <w:style w:type="character" w:customStyle="1" w:styleId="PodtytuZnak">
    <w:name w:val="Podtytuł Znak"/>
    <w:basedOn w:val="Domylnaczcionkaakapitu"/>
    <w:link w:val="Podtytu"/>
    <w:rsid w:val="00C15FEC"/>
    <w:rPr>
      <w:rFonts w:ascii="Arial" w:eastAsia="Times New Roman" w:hAnsi="Arial" w:cs="Times New Roman"/>
      <w:b/>
      <w:kern w:val="2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521F9"/>
    <w:pPr>
      <w:widowControl w:val="0"/>
      <w:suppressAutoHyphens/>
      <w:spacing w:before="240" w:after="60"/>
      <w:jc w:val="both"/>
      <w:outlineLvl w:val="0"/>
    </w:pPr>
    <w:rPr>
      <w:rFonts w:ascii="Arial" w:hAnsi="Arial"/>
      <w:b/>
      <w:bCs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rsid w:val="004521F9"/>
    <w:rPr>
      <w:rFonts w:ascii="Arial" w:eastAsia="Times New Roman" w:hAnsi="Arial" w:cs="Times New Roman"/>
      <w:b/>
      <w:bCs/>
      <w:kern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521F9"/>
    <w:pPr>
      <w:widowControl w:val="0"/>
      <w:suppressAutoHyphens/>
      <w:spacing w:after="120"/>
      <w:jc w:val="both"/>
    </w:pPr>
    <w:rPr>
      <w:rFonts w:ascii="Arial" w:eastAsia="Andale Sans UI" w:hAnsi="Arial"/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21F9"/>
    <w:rPr>
      <w:rFonts w:ascii="Arial" w:eastAsia="Andale Sans UI" w:hAnsi="Arial" w:cs="Times New Roman"/>
      <w:kern w:val="2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40B3"/>
    <w:pPr>
      <w:widowControl w:val="0"/>
      <w:suppressAutoHyphens/>
      <w:spacing w:after="120"/>
      <w:ind w:left="283"/>
      <w:jc w:val="both"/>
    </w:pPr>
    <w:rPr>
      <w:rFonts w:ascii="Arial" w:eastAsia="Andale Sans UI" w:hAnsi="Arial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40B3"/>
    <w:rPr>
      <w:rFonts w:ascii="Arial" w:eastAsia="Andale Sans UI" w:hAnsi="Arial" w:cs="Times New Roman"/>
      <w:kern w:val="1"/>
      <w:sz w:val="16"/>
      <w:szCs w:val="16"/>
    </w:rPr>
  </w:style>
  <w:style w:type="paragraph" w:customStyle="1" w:styleId="FR2">
    <w:name w:val="FR2"/>
    <w:rsid w:val="002740B3"/>
    <w:pPr>
      <w:widowControl w:val="0"/>
      <w:autoSpaceDE w:val="0"/>
      <w:autoSpaceDN w:val="0"/>
      <w:adjustRightInd w:val="0"/>
      <w:spacing w:after="0" w:line="300" w:lineRule="auto"/>
      <w:ind w:left="280" w:right="600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A629-8536-4229-9F14-44BAF836C46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F026C2F-4CA2-4957-BE76-18903087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10118</TotalTime>
  <Pages>4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Monika Iwaszko</cp:lastModifiedBy>
  <cp:revision>236</cp:revision>
  <cp:lastPrinted>2022-06-21T08:15:00Z</cp:lastPrinted>
  <dcterms:created xsi:type="dcterms:W3CDTF">2011-05-09T06:08:00Z</dcterms:created>
  <dcterms:modified xsi:type="dcterms:W3CDTF">2022-08-23T11:51:00Z</dcterms:modified>
</cp:coreProperties>
</file>